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6AD8" w14:textId="72F22930" w:rsidR="006F2872" w:rsidRPr="00864CC5" w:rsidRDefault="006F2872" w:rsidP="006F2872">
      <w:pPr>
        <w:jc w:val="right"/>
        <w:rPr>
          <w:rFonts w:ascii="Aptos" w:hAnsi="Aptos"/>
          <w:b/>
          <w:i/>
          <w:iCs/>
        </w:rPr>
      </w:pPr>
      <w:r w:rsidRPr="00864CC5">
        <w:rPr>
          <w:rFonts w:ascii="Aptos" w:hAnsi="Aptos"/>
          <w:b/>
          <w:i/>
          <w:iCs/>
        </w:rPr>
        <w:t xml:space="preserve">THIS INFORMATION IS UNDER EMBARGO UNTIL: </w:t>
      </w:r>
      <w:r w:rsidR="001F0794" w:rsidRPr="00116E7A">
        <w:rPr>
          <w:rFonts w:ascii="Aptos" w:hAnsi="Aptos"/>
          <w:b/>
          <w:i/>
          <w:iCs/>
          <w:color w:val="FF0000"/>
          <w:sz w:val="21"/>
          <w:szCs w:val="21"/>
        </w:rPr>
        <w:t>Friday</w:t>
      </w:r>
      <w:r w:rsidRPr="00116E7A">
        <w:rPr>
          <w:rFonts w:ascii="Aptos" w:hAnsi="Aptos"/>
          <w:b/>
          <w:i/>
          <w:iCs/>
          <w:color w:val="FF0000"/>
          <w:sz w:val="21"/>
          <w:szCs w:val="21"/>
        </w:rPr>
        <w:t xml:space="preserve">, September </w:t>
      </w:r>
      <w:r w:rsidR="00E23B5B" w:rsidRPr="00116E7A">
        <w:rPr>
          <w:rFonts w:ascii="Aptos" w:hAnsi="Aptos"/>
          <w:b/>
          <w:i/>
          <w:iCs/>
          <w:color w:val="FF0000"/>
          <w:sz w:val="21"/>
          <w:szCs w:val="21"/>
        </w:rPr>
        <w:t>20</w:t>
      </w:r>
      <w:r w:rsidR="00B743CC" w:rsidRPr="00116E7A">
        <w:rPr>
          <w:rFonts w:ascii="Aptos" w:hAnsi="Aptos"/>
          <w:b/>
          <w:i/>
          <w:iCs/>
          <w:color w:val="FF0000"/>
          <w:sz w:val="21"/>
          <w:szCs w:val="21"/>
        </w:rPr>
        <w:t>, 202</w:t>
      </w:r>
      <w:r w:rsidR="00136932" w:rsidRPr="00116E7A">
        <w:rPr>
          <w:rFonts w:ascii="Aptos" w:hAnsi="Aptos"/>
          <w:b/>
          <w:i/>
          <w:iCs/>
          <w:color w:val="FF0000"/>
          <w:sz w:val="21"/>
          <w:szCs w:val="21"/>
        </w:rPr>
        <w:t>4</w:t>
      </w:r>
      <w:r w:rsidRPr="00116E7A">
        <w:rPr>
          <w:rFonts w:ascii="Aptos" w:hAnsi="Aptos"/>
          <w:b/>
          <w:i/>
          <w:iCs/>
          <w:color w:val="FF0000"/>
          <w:sz w:val="21"/>
          <w:szCs w:val="21"/>
        </w:rPr>
        <w:t xml:space="preserve"> –</w:t>
      </w:r>
      <w:r w:rsidR="003B3AC2" w:rsidRPr="00116E7A">
        <w:rPr>
          <w:rFonts w:ascii="Aptos" w:hAnsi="Aptos"/>
          <w:b/>
          <w:i/>
          <w:iCs/>
          <w:color w:val="FF0000"/>
          <w:sz w:val="21"/>
          <w:szCs w:val="21"/>
        </w:rPr>
        <w:t xml:space="preserve"> </w:t>
      </w:r>
      <w:r w:rsidR="00123B26" w:rsidRPr="00116E7A">
        <w:rPr>
          <w:rFonts w:ascii="Aptos" w:hAnsi="Aptos"/>
          <w:b/>
          <w:i/>
          <w:iCs/>
          <w:color w:val="FF0000"/>
          <w:sz w:val="21"/>
          <w:szCs w:val="21"/>
        </w:rPr>
        <w:t>9</w:t>
      </w:r>
      <w:r w:rsidRPr="00116E7A">
        <w:rPr>
          <w:rFonts w:ascii="Aptos" w:hAnsi="Aptos"/>
          <w:b/>
          <w:i/>
          <w:iCs/>
          <w:color w:val="FF0000"/>
          <w:sz w:val="21"/>
          <w:szCs w:val="21"/>
        </w:rPr>
        <w:t>am Eastern Time</w:t>
      </w:r>
    </w:p>
    <w:p w14:paraId="0387C314" w14:textId="77398F37" w:rsidR="006F2872" w:rsidRPr="00864CC5" w:rsidRDefault="00B743CC" w:rsidP="006F2872">
      <w:pPr>
        <w:pStyle w:val="NoSpacing"/>
        <w:jc w:val="right"/>
        <w:rPr>
          <w:rFonts w:ascii="Aptos" w:hAnsi="Aptos"/>
        </w:rPr>
      </w:pPr>
      <w:r w:rsidRPr="00864CC5">
        <w:rPr>
          <w:rFonts w:ascii="Aptos" w:hAnsi="Aptos"/>
        </w:rPr>
        <w:t xml:space="preserve">Richard K. Boyer, </w:t>
      </w:r>
      <w:r w:rsidR="00CC0AAD" w:rsidRPr="00864CC5">
        <w:rPr>
          <w:rFonts w:ascii="Aptos" w:hAnsi="Aptos"/>
        </w:rPr>
        <w:t>Chief Culture Strategist</w:t>
      </w:r>
      <w:r w:rsidR="006F2872" w:rsidRPr="00864CC5">
        <w:rPr>
          <w:rFonts w:ascii="Aptos" w:hAnsi="Aptos"/>
        </w:rPr>
        <w:t>, ModernThink</w:t>
      </w:r>
    </w:p>
    <w:p w14:paraId="0A538B3E" w14:textId="77777777" w:rsidR="006F2872" w:rsidRPr="00864CC5" w:rsidRDefault="006F2872" w:rsidP="006F2872">
      <w:pPr>
        <w:pStyle w:val="NoSpacing"/>
        <w:jc w:val="right"/>
        <w:rPr>
          <w:rFonts w:ascii="Aptos" w:hAnsi="Aptos"/>
        </w:rPr>
      </w:pPr>
      <w:r w:rsidRPr="00864CC5">
        <w:rPr>
          <w:rFonts w:ascii="Aptos" w:hAnsi="Aptos"/>
        </w:rPr>
        <w:t>rboyer@modernthink.com / 302-764-4477</w:t>
      </w:r>
    </w:p>
    <w:p w14:paraId="42118D1C" w14:textId="77777777" w:rsidR="006F2872" w:rsidRPr="00864CC5" w:rsidRDefault="006F2872" w:rsidP="006F2872">
      <w:pPr>
        <w:pStyle w:val="NoSpacing"/>
        <w:rPr>
          <w:rFonts w:ascii="Aptos" w:hAnsi="Aptos"/>
        </w:rPr>
      </w:pPr>
    </w:p>
    <w:p w14:paraId="365F3EDE" w14:textId="54BAC949" w:rsidR="00F33C7E" w:rsidRPr="00864CC5" w:rsidRDefault="00F33C7E" w:rsidP="00865476">
      <w:pPr>
        <w:pStyle w:val="NoSpacing"/>
        <w:rPr>
          <w:rFonts w:ascii="Aptos" w:hAnsi="Aptos"/>
        </w:rPr>
      </w:pPr>
      <w:r w:rsidRPr="00864CC5">
        <w:rPr>
          <w:rFonts w:ascii="Aptos" w:hAnsi="Aptos"/>
        </w:rPr>
        <w:t xml:space="preserve">The Great Colleges to Work For® program is one of the largest and most respected workplace recognition programs in the country. Now in its </w:t>
      </w:r>
      <w:r w:rsidR="007F0C15" w:rsidRPr="00864CC5">
        <w:rPr>
          <w:rFonts w:ascii="Aptos" w:hAnsi="Aptos"/>
        </w:rPr>
        <w:t xml:space="preserve">seventeenth </w:t>
      </w:r>
      <w:r w:rsidRPr="00864CC5">
        <w:rPr>
          <w:rFonts w:ascii="Aptos" w:hAnsi="Aptos"/>
        </w:rPr>
        <w:t>year, it recognizes the colleges that get top ratings from their employees regarding workplace practices and policies. Please feel free to cite the below information in announcing your institution’s recognition in the program.</w:t>
      </w:r>
    </w:p>
    <w:p w14:paraId="2931DF7C" w14:textId="77777777" w:rsidR="006204BD" w:rsidRPr="00864CC5" w:rsidRDefault="006204BD" w:rsidP="00865476">
      <w:pPr>
        <w:pStyle w:val="NoSpacing"/>
        <w:rPr>
          <w:rFonts w:ascii="Aptos" w:hAnsi="Aptos"/>
          <w:b/>
          <w:sz w:val="24"/>
          <w:szCs w:val="24"/>
          <w:u w:val="single"/>
        </w:rPr>
      </w:pPr>
    </w:p>
    <w:p w14:paraId="16440833" w14:textId="5864E3FF" w:rsidR="00865476" w:rsidRPr="00864CC5" w:rsidRDefault="006204BD" w:rsidP="00865476">
      <w:pPr>
        <w:pStyle w:val="NoSpacing"/>
        <w:rPr>
          <w:rFonts w:ascii="Aptos" w:hAnsi="Aptos"/>
          <w:b/>
          <w:color w:val="002060"/>
          <w:sz w:val="28"/>
          <w:szCs w:val="28"/>
        </w:rPr>
      </w:pPr>
      <w:r w:rsidRPr="00864CC5">
        <w:rPr>
          <w:rFonts w:ascii="Aptos" w:hAnsi="Aptos"/>
          <w:b/>
          <w:sz w:val="24"/>
          <w:szCs w:val="24"/>
          <w:u w:val="single"/>
        </w:rPr>
        <w:br/>
      </w:r>
      <w:r w:rsidR="00865476" w:rsidRPr="00864CC5">
        <w:rPr>
          <w:rFonts w:ascii="Aptos" w:hAnsi="Aptos"/>
          <w:b/>
          <w:color w:val="002060"/>
          <w:sz w:val="28"/>
          <w:szCs w:val="28"/>
        </w:rPr>
        <w:t xml:space="preserve">Great Colleges to Work For® Program </w:t>
      </w:r>
      <w:r w:rsidR="00C17487" w:rsidRPr="00864CC5">
        <w:rPr>
          <w:rFonts w:ascii="Aptos" w:hAnsi="Aptos"/>
          <w:b/>
          <w:color w:val="002060"/>
          <w:sz w:val="28"/>
          <w:szCs w:val="28"/>
        </w:rPr>
        <w:t>Methodology</w:t>
      </w:r>
    </w:p>
    <w:p w14:paraId="5B8D1D05" w14:textId="3019EC4C" w:rsidR="006204BD" w:rsidRPr="00864CC5" w:rsidRDefault="00865476" w:rsidP="006204BD">
      <w:pPr>
        <w:tabs>
          <w:tab w:val="left" w:pos="8640"/>
        </w:tabs>
        <w:spacing w:line="240" w:lineRule="auto"/>
        <w:rPr>
          <w:rFonts w:ascii="Aptos" w:hAnsi="Aptos"/>
          <w:b/>
          <w:color w:val="002060"/>
          <w:sz w:val="28"/>
          <w:szCs w:val="28"/>
        </w:rPr>
      </w:pPr>
      <w:r w:rsidRPr="00864CC5">
        <w:rPr>
          <w:rFonts w:ascii="Aptos" w:hAnsi="Aptos"/>
        </w:rPr>
        <w:t>The Great Colleges to Work For® program includes a two-part assessment process: the ModernThink Higher Education Insight Survey© administered to faculty, administrators, exempt professional and non-exempt staff, as well as a</w:t>
      </w:r>
      <w:r w:rsidR="00355B42" w:rsidRPr="00864CC5">
        <w:rPr>
          <w:rFonts w:ascii="Aptos" w:hAnsi="Aptos"/>
        </w:rPr>
        <w:t>djuncts at two</w:t>
      </w:r>
      <w:r w:rsidRPr="00864CC5">
        <w:rPr>
          <w:rFonts w:ascii="Aptos" w:hAnsi="Aptos"/>
        </w:rPr>
        <w:t>-year colleges,</w:t>
      </w:r>
      <w:r w:rsidR="00EE3043" w:rsidRPr="00864CC5">
        <w:rPr>
          <w:rFonts w:ascii="Aptos" w:hAnsi="Aptos"/>
        </w:rPr>
        <w:t xml:space="preserve"> </w:t>
      </w:r>
      <w:r w:rsidRPr="00864CC5">
        <w:rPr>
          <w:rFonts w:ascii="Aptos" w:hAnsi="Aptos"/>
        </w:rPr>
        <w:t xml:space="preserve">and </w:t>
      </w:r>
      <w:r w:rsidRPr="00864CC5">
        <w:rPr>
          <w:rFonts w:ascii="Aptos" w:hAnsi="Aptos" w:cs="Arial"/>
        </w:rPr>
        <w:t>the ModernThink Higher Education Institution Questionnaire</w:t>
      </w:r>
      <w:r w:rsidRPr="00864CC5">
        <w:rPr>
          <w:rFonts w:ascii="Aptos" w:hAnsi="Aptos" w:cs="Arial"/>
          <w:vertAlign w:val="superscript"/>
        </w:rPr>
        <w:t>©</w:t>
      </w:r>
      <w:r w:rsidRPr="00864CC5">
        <w:rPr>
          <w:rFonts w:ascii="Aptos" w:hAnsi="Aptos" w:cs="Arial"/>
        </w:rPr>
        <w:t xml:space="preserve"> (IQ)</w:t>
      </w:r>
      <w:r w:rsidR="00EE3043" w:rsidRPr="00864CC5">
        <w:rPr>
          <w:rFonts w:ascii="Aptos" w:hAnsi="Aptos" w:cs="Arial"/>
        </w:rPr>
        <w:t>,</w:t>
      </w:r>
      <w:r w:rsidRPr="00864CC5">
        <w:rPr>
          <w:rFonts w:ascii="Aptos" w:hAnsi="Aptos" w:cs="Arial"/>
        </w:rPr>
        <w:t xml:space="preserve"> </w:t>
      </w:r>
      <w:r w:rsidR="00355B42" w:rsidRPr="00864CC5">
        <w:rPr>
          <w:rFonts w:ascii="Aptos" w:hAnsi="Aptos"/>
        </w:rPr>
        <w:t>which</w:t>
      </w:r>
      <w:r w:rsidRPr="00864CC5">
        <w:rPr>
          <w:rFonts w:ascii="Aptos" w:hAnsi="Aptos"/>
        </w:rPr>
        <w:t xml:space="preserve"> captures employment data and workplace policies and practices from each institution. </w:t>
      </w:r>
      <w:r w:rsidRPr="00864CC5">
        <w:rPr>
          <w:rFonts w:ascii="Aptos" w:hAnsi="Aptos" w:cs="Arial"/>
        </w:rPr>
        <w:t>Recognition analysis for the Great Colleges to Work For program is conducted by ModernThink, an organizational development firm with particular survey and “Best Place to Work” expertise. The principal factor in deciding whether an institution receives recognition is the feedback from employees collected from the ModernThink Higher Education Insight Survey</w:t>
      </w:r>
      <w:r w:rsidRPr="00864CC5">
        <w:rPr>
          <w:rFonts w:ascii="Aptos" w:hAnsi="Aptos" w:cs="Arial"/>
          <w:vertAlign w:val="superscript"/>
        </w:rPr>
        <w:t>©</w:t>
      </w:r>
      <w:r w:rsidRPr="00864CC5">
        <w:rPr>
          <w:rFonts w:ascii="Aptos" w:hAnsi="Aptos" w:cs="Arial"/>
        </w:rPr>
        <w:t>, assuming a sufficient response rate. Given the wide range of faculty/staff populations at participating institutions, there is no minimum response rate threshold that institutions are required to achieve to be eligible for recognition. However, in analyzing the data we do review confidence levels to ensure statistical significance.</w:t>
      </w:r>
      <w:r w:rsidR="00EE3043" w:rsidRPr="00864CC5">
        <w:rPr>
          <w:rFonts w:ascii="Aptos" w:hAnsi="Aptos" w:cs="Arial"/>
        </w:rPr>
        <w:t xml:space="preserve"> </w:t>
      </w:r>
      <w:r w:rsidRPr="00864CC5">
        <w:rPr>
          <w:rFonts w:ascii="Aptos" w:hAnsi="Aptos" w:cs="Arial"/>
        </w:rPr>
        <w:t xml:space="preserve">The institutional policies and practices information collected through the ModernThink IQ provides supplemental insight to the employee </w:t>
      </w:r>
      <w:r w:rsidR="00F816A4" w:rsidRPr="00864CC5">
        <w:rPr>
          <w:rFonts w:ascii="Aptos" w:hAnsi="Aptos" w:cs="Arial"/>
        </w:rPr>
        <w:t>survey and</w:t>
      </w:r>
      <w:r w:rsidRPr="00864CC5">
        <w:rPr>
          <w:rFonts w:ascii="Aptos" w:hAnsi="Aptos" w:cs="Arial"/>
        </w:rPr>
        <w:t xml:space="preserve"> is reviewed and analyzed both for completeness and content.</w:t>
      </w:r>
      <w:r w:rsidR="0004521F" w:rsidRPr="00864CC5">
        <w:rPr>
          <w:rFonts w:ascii="Aptos" w:hAnsi="Aptos"/>
          <w:b/>
          <w:sz w:val="24"/>
          <w:szCs w:val="24"/>
          <w:u w:val="single"/>
        </w:rPr>
        <w:br/>
      </w:r>
    </w:p>
    <w:p w14:paraId="233DBEC3" w14:textId="3AAAE145" w:rsidR="006F2872" w:rsidRPr="00864CC5" w:rsidRDefault="00F33C7E" w:rsidP="006204BD">
      <w:pPr>
        <w:tabs>
          <w:tab w:val="left" w:pos="8640"/>
        </w:tabs>
        <w:spacing w:line="240" w:lineRule="auto"/>
        <w:rPr>
          <w:rFonts w:ascii="Aptos" w:hAnsi="Aptos" w:cs="Arial"/>
          <w:color w:val="002060"/>
        </w:rPr>
      </w:pPr>
      <w:r w:rsidRPr="00864CC5">
        <w:rPr>
          <w:rFonts w:ascii="Aptos" w:hAnsi="Aptos"/>
          <w:b/>
          <w:color w:val="002060"/>
          <w:sz w:val="28"/>
          <w:szCs w:val="28"/>
        </w:rPr>
        <w:t>Program Summary</w:t>
      </w:r>
    </w:p>
    <w:p w14:paraId="12CC0859" w14:textId="5894361E" w:rsidR="006F2872" w:rsidRPr="00864CC5" w:rsidRDefault="000B2DDB" w:rsidP="006F2872">
      <w:pPr>
        <w:pStyle w:val="NoSpacing"/>
        <w:numPr>
          <w:ilvl w:val="0"/>
          <w:numId w:val="1"/>
        </w:numPr>
        <w:rPr>
          <w:rFonts w:ascii="Aptos" w:hAnsi="Aptos"/>
        </w:rPr>
      </w:pPr>
      <w:r w:rsidRPr="00864CC5">
        <w:rPr>
          <w:rFonts w:ascii="Aptos" w:hAnsi="Aptos"/>
        </w:rPr>
        <w:t>216</w:t>
      </w:r>
      <w:r w:rsidR="00672B22" w:rsidRPr="00864CC5">
        <w:rPr>
          <w:rFonts w:ascii="Aptos" w:hAnsi="Aptos"/>
        </w:rPr>
        <w:t xml:space="preserve"> </w:t>
      </w:r>
      <w:r w:rsidR="006F2872" w:rsidRPr="00864CC5">
        <w:rPr>
          <w:rFonts w:ascii="Aptos" w:hAnsi="Aptos"/>
        </w:rPr>
        <w:t xml:space="preserve">institutions participated in </w:t>
      </w:r>
      <w:r w:rsidR="00CE27D5" w:rsidRPr="00864CC5">
        <w:rPr>
          <w:rFonts w:ascii="Aptos" w:hAnsi="Aptos"/>
        </w:rPr>
        <w:t>202</w:t>
      </w:r>
      <w:r w:rsidR="008E001E" w:rsidRPr="00864CC5">
        <w:rPr>
          <w:rFonts w:ascii="Aptos" w:hAnsi="Aptos"/>
        </w:rPr>
        <w:t>4</w:t>
      </w:r>
      <w:r w:rsidR="006F2872" w:rsidRPr="00864CC5">
        <w:rPr>
          <w:rFonts w:ascii="Aptos" w:hAnsi="Aptos"/>
          <w:b/>
          <w:bCs/>
        </w:rPr>
        <w:t xml:space="preserve">, </w:t>
      </w:r>
      <w:r w:rsidR="006F2872" w:rsidRPr="00864CC5">
        <w:rPr>
          <w:rFonts w:ascii="Aptos" w:hAnsi="Aptos"/>
        </w:rPr>
        <w:t>including</w:t>
      </w:r>
      <w:r w:rsidR="00946394" w:rsidRPr="00864CC5">
        <w:rPr>
          <w:rFonts w:ascii="Aptos" w:hAnsi="Aptos"/>
        </w:rPr>
        <w:t xml:space="preserve"> </w:t>
      </w:r>
      <w:r w:rsidR="00F816A4" w:rsidRPr="00864CC5">
        <w:rPr>
          <w:rFonts w:ascii="Aptos" w:hAnsi="Aptos"/>
        </w:rPr>
        <w:t>1</w:t>
      </w:r>
      <w:r w:rsidR="00550F61" w:rsidRPr="00864CC5">
        <w:rPr>
          <w:rFonts w:ascii="Aptos" w:hAnsi="Aptos"/>
        </w:rPr>
        <w:t>39</w:t>
      </w:r>
      <w:r w:rsidR="00672B22" w:rsidRPr="00864CC5">
        <w:rPr>
          <w:rFonts w:ascii="Aptos" w:hAnsi="Aptos"/>
        </w:rPr>
        <w:t xml:space="preserve"> </w:t>
      </w:r>
      <w:r w:rsidR="006F2872" w:rsidRPr="00864CC5">
        <w:rPr>
          <w:rFonts w:ascii="Aptos" w:hAnsi="Aptos"/>
        </w:rPr>
        <w:t xml:space="preserve">four-year institutions and </w:t>
      </w:r>
      <w:r w:rsidR="00F816A4" w:rsidRPr="00864CC5">
        <w:rPr>
          <w:rFonts w:ascii="Aptos" w:hAnsi="Aptos"/>
        </w:rPr>
        <w:t>7</w:t>
      </w:r>
      <w:r w:rsidR="00550F61" w:rsidRPr="00864CC5">
        <w:rPr>
          <w:rFonts w:ascii="Aptos" w:hAnsi="Aptos"/>
        </w:rPr>
        <w:t>7</w:t>
      </w:r>
      <w:r w:rsidR="006F2872" w:rsidRPr="00864CC5">
        <w:rPr>
          <w:rFonts w:ascii="Aptos" w:hAnsi="Aptos"/>
        </w:rPr>
        <w:t xml:space="preserve"> two-year institutions.</w:t>
      </w:r>
    </w:p>
    <w:p w14:paraId="66F07C2F" w14:textId="4E7FFBB1" w:rsidR="00CE3754" w:rsidRPr="00864CC5" w:rsidRDefault="00CE3754" w:rsidP="006F2872">
      <w:pPr>
        <w:pStyle w:val="NoSpacing"/>
        <w:numPr>
          <w:ilvl w:val="0"/>
          <w:numId w:val="1"/>
        </w:numPr>
        <w:rPr>
          <w:rFonts w:ascii="Aptos" w:hAnsi="Aptos"/>
        </w:rPr>
      </w:pPr>
      <w:r w:rsidRPr="00864CC5">
        <w:rPr>
          <w:rFonts w:ascii="Aptos" w:hAnsi="Aptos"/>
        </w:rPr>
        <w:t>This represents a</w:t>
      </w:r>
      <w:r w:rsidR="005B43FC" w:rsidRPr="00864CC5">
        <w:rPr>
          <w:rFonts w:ascii="Aptos" w:hAnsi="Aptos"/>
        </w:rPr>
        <w:t>n</w:t>
      </w:r>
      <w:r w:rsidRPr="00864CC5">
        <w:rPr>
          <w:rFonts w:ascii="Aptos" w:hAnsi="Aptos"/>
        </w:rPr>
        <w:t xml:space="preserve"> 1</w:t>
      </w:r>
      <w:r w:rsidR="00497DCE" w:rsidRPr="00864CC5">
        <w:rPr>
          <w:rFonts w:ascii="Aptos" w:hAnsi="Aptos"/>
        </w:rPr>
        <w:t>1</w:t>
      </w:r>
      <w:r w:rsidRPr="00864CC5">
        <w:rPr>
          <w:rFonts w:ascii="Aptos" w:hAnsi="Aptos"/>
        </w:rPr>
        <w:t>% increase in participants since 2023.</w:t>
      </w:r>
    </w:p>
    <w:p w14:paraId="3868F914" w14:textId="71D61908" w:rsidR="006F2872" w:rsidRPr="00864CC5" w:rsidRDefault="00F816A4" w:rsidP="006F2872">
      <w:pPr>
        <w:pStyle w:val="NoSpacing"/>
        <w:numPr>
          <w:ilvl w:val="0"/>
          <w:numId w:val="1"/>
        </w:numPr>
        <w:rPr>
          <w:rFonts w:ascii="Aptos" w:hAnsi="Aptos"/>
        </w:rPr>
      </w:pPr>
      <w:r w:rsidRPr="00864CC5">
        <w:rPr>
          <w:rFonts w:ascii="Aptos" w:hAnsi="Aptos"/>
        </w:rPr>
        <w:t>7</w:t>
      </w:r>
      <w:r w:rsidR="007402C5" w:rsidRPr="00864CC5">
        <w:rPr>
          <w:rFonts w:ascii="Aptos" w:hAnsi="Aptos"/>
        </w:rPr>
        <w:t>5</w:t>
      </w:r>
      <w:r w:rsidR="006F2872" w:rsidRPr="00864CC5">
        <w:rPr>
          <w:rFonts w:ascii="Aptos" w:hAnsi="Aptos"/>
        </w:rPr>
        <w:t xml:space="preserve"> institutions are recognized as a </w:t>
      </w:r>
      <w:r w:rsidRPr="00864CC5">
        <w:rPr>
          <w:rFonts w:ascii="Aptos" w:hAnsi="Aptos"/>
        </w:rPr>
        <w:t>202</w:t>
      </w:r>
      <w:r w:rsidR="008E001E" w:rsidRPr="00864CC5">
        <w:rPr>
          <w:rFonts w:ascii="Aptos" w:hAnsi="Aptos"/>
        </w:rPr>
        <w:t>4</w:t>
      </w:r>
      <w:r w:rsidR="006F2872" w:rsidRPr="00864CC5">
        <w:rPr>
          <w:rFonts w:ascii="Aptos" w:hAnsi="Aptos"/>
        </w:rPr>
        <w:t xml:space="preserve"> Great College to Work For, including </w:t>
      </w:r>
      <w:r w:rsidRPr="00864CC5">
        <w:rPr>
          <w:rFonts w:ascii="Aptos" w:hAnsi="Aptos"/>
        </w:rPr>
        <w:t>5</w:t>
      </w:r>
      <w:r w:rsidR="00CC69C4" w:rsidRPr="00864CC5">
        <w:rPr>
          <w:rFonts w:ascii="Aptos" w:hAnsi="Aptos"/>
        </w:rPr>
        <w:t>3</w:t>
      </w:r>
      <w:r w:rsidR="00B743CC" w:rsidRPr="00864CC5">
        <w:rPr>
          <w:rFonts w:ascii="Aptos" w:hAnsi="Aptos"/>
        </w:rPr>
        <w:t xml:space="preserve"> four-year institutions and 2</w:t>
      </w:r>
      <w:r w:rsidR="00672B22" w:rsidRPr="00864CC5">
        <w:rPr>
          <w:rFonts w:ascii="Aptos" w:hAnsi="Aptos"/>
        </w:rPr>
        <w:t>2</w:t>
      </w:r>
      <w:r w:rsidR="006F2872" w:rsidRPr="00864CC5">
        <w:rPr>
          <w:rFonts w:ascii="Aptos" w:hAnsi="Aptos"/>
        </w:rPr>
        <w:t xml:space="preserve"> two-year institutions.</w:t>
      </w:r>
    </w:p>
    <w:p w14:paraId="2E283754" w14:textId="4A3F94A5" w:rsidR="006F2872" w:rsidRPr="00864CC5" w:rsidRDefault="006F2872" w:rsidP="006F2872">
      <w:pPr>
        <w:pStyle w:val="NoSpacing"/>
        <w:numPr>
          <w:ilvl w:val="0"/>
          <w:numId w:val="1"/>
        </w:numPr>
        <w:rPr>
          <w:rFonts w:ascii="Aptos" w:hAnsi="Aptos"/>
        </w:rPr>
      </w:pPr>
      <w:r w:rsidRPr="00864CC5">
        <w:rPr>
          <w:rFonts w:ascii="Aptos" w:hAnsi="Aptos"/>
        </w:rPr>
        <w:t xml:space="preserve">42 institutions are on the Honor Roll, recognized as </w:t>
      </w:r>
      <w:proofErr w:type="gramStart"/>
      <w:r w:rsidRPr="00864CC5">
        <w:rPr>
          <w:rFonts w:ascii="Aptos" w:hAnsi="Aptos"/>
        </w:rPr>
        <w:t>stand-outs</w:t>
      </w:r>
      <w:proofErr w:type="gramEnd"/>
      <w:r w:rsidRPr="00864CC5">
        <w:rPr>
          <w:rFonts w:ascii="Aptos" w:hAnsi="Aptos"/>
        </w:rPr>
        <w:t xml:space="preserve"> in their size categories.</w:t>
      </w:r>
    </w:p>
    <w:p w14:paraId="3F820764" w14:textId="08D9226D" w:rsidR="00941A8F" w:rsidRPr="00864CC5" w:rsidRDefault="001523A9" w:rsidP="00865476">
      <w:pPr>
        <w:pStyle w:val="NoSpacing"/>
        <w:numPr>
          <w:ilvl w:val="0"/>
          <w:numId w:val="3"/>
        </w:numPr>
        <w:rPr>
          <w:rFonts w:ascii="Aptos" w:hAnsi="Aptos"/>
        </w:rPr>
      </w:pPr>
      <w:r w:rsidRPr="00864CC5">
        <w:rPr>
          <w:rFonts w:ascii="Aptos" w:hAnsi="Aptos"/>
        </w:rPr>
        <w:t>There are 10 recognition categories</w:t>
      </w:r>
      <w:r w:rsidR="00DE7D9A" w:rsidRPr="00864CC5">
        <w:rPr>
          <w:rFonts w:ascii="Aptos" w:hAnsi="Aptos"/>
        </w:rPr>
        <w:t xml:space="preserve"> (see below)</w:t>
      </w:r>
      <w:r w:rsidRPr="00864CC5">
        <w:rPr>
          <w:rFonts w:ascii="Aptos" w:hAnsi="Aptos"/>
        </w:rPr>
        <w:t>. Special acknowledgement goes to those schools recognized in multiple categories. Accordingly, Honor Roll recognition goes to the top schools in each 4-year size category and the top schools in each 2-year size category based on the number of times they were honored in the individual recognition areas.</w:t>
      </w:r>
    </w:p>
    <w:p w14:paraId="6C522210" w14:textId="2586E900" w:rsidR="00B62101" w:rsidRPr="00864CC5" w:rsidRDefault="00B62101" w:rsidP="00865476">
      <w:pPr>
        <w:pStyle w:val="NoSpacing"/>
        <w:numPr>
          <w:ilvl w:val="0"/>
          <w:numId w:val="3"/>
        </w:numPr>
        <w:rPr>
          <w:rFonts w:ascii="Aptos" w:hAnsi="Aptos"/>
        </w:rPr>
      </w:pPr>
      <w:r w:rsidRPr="00864CC5">
        <w:rPr>
          <w:rFonts w:ascii="Aptos" w:hAnsi="Aptos"/>
        </w:rPr>
        <w:t xml:space="preserve">Recognized institutions will </w:t>
      </w:r>
      <w:r w:rsidR="0012632F" w:rsidRPr="00864CC5">
        <w:rPr>
          <w:rFonts w:ascii="Aptos" w:hAnsi="Aptos"/>
        </w:rPr>
        <w:t xml:space="preserve">be </w:t>
      </w:r>
      <w:r w:rsidR="00893485" w:rsidRPr="00864CC5">
        <w:rPr>
          <w:rFonts w:ascii="Aptos" w:hAnsi="Aptos"/>
        </w:rPr>
        <w:t>announced</w:t>
      </w:r>
      <w:r w:rsidR="0012632F" w:rsidRPr="00864CC5">
        <w:rPr>
          <w:rFonts w:ascii="Aptos" w:hAnsi="Aptos"/>
        </w:rPr>
        <w:t xml:space="preserve"> on September 20, </w:t>
      </w:r>
      <w:proofErr w:type="gramStart"/>
      <w:r w:rsidR="0012632F" w:rsidRPr="00864CC5">
        <w:rPr>
          <w:rFonts w:ascii="Aptos" w:hAnsi="Aptos"/>
        </w:rPr>
        <w:t>2024</w:t>
      </w:r>
      <w:proofErr w:type="gramEnd"/>
      <w:r w:rsidR="0012632F" w:rsidRPr="00864CC5">
        <w:rPr>
          <w:rFonts w:ascii="Aptos" w:hAnsi="Aptos"/>
        </w:rPr>
        <w:t xml:space="preserve"> at GreatCollegesList.com, and via a special insert of The Chronicle of Higher Education sent digitally and in print to subscribers.</w:t>
      </w:r>
    </w:p>
    <w:p w14:paraId="1A498A78" w14:textId="22087066" w:rsidR="00221153" w:rsidRDefault="00221153" w:rsidP="006B0BEF">
      <w:pPr>
        <w:pStyle w:val="NoSpacing"/>
        <w:rPr>
          <w:rFonts w:ascii="Aptos" w:hAnsi="Aptos"/>
          <w:b/>
          <w:sz w:val="24"/>
          <w:szCs w:val="24"/>
          <w:u w:val="single"/>
        </w:rPr>
      </w:pPr>
    </w:p>
    <w:p w14:paraId="6BD85581" w14:textId="77777777" w:rsidR="00864CC5" w:rsidRPr="00864CC5" w:rsidRDefault="00864CC5" w:rsidP="006B0BEF">
      <w:pPr>
        <w:pStyle w:val="NoSpacing"/>
        <w:rPr>
          <w:rFonts w:ascii="Aptos" w:hAnsi="Aptos"/>
          <w:b/>
          <w:sz w:val="24"/>
          <w:szCs w:val="24"/>
          <w:u w:val="single"/>
        </w:rPr>
      </w:pPr>
    </w:p>
    <w:p w14:paraId="2A6B04C8" w14:textId="77777777" w:rsidR="00F942D4" w:rsidRDefault="00F942D4" w:rsidP="006B0BEF">
      <w:pPr>
        <w:pStyle w:val="NoSpacing"/>
        <w:rPr>
          <w:rFonts w:ascii="Aptos" w:hAnsi="Aptos"/>
          <w:b/>
          <w:color w:val="002060"/>
          <w:sz w:val="28"/>
          <w:szCs w:val="28"/>
        </w:rPr>
      </w:pPr>
    </w:p>
    <w:p w14:paraId="1E44E54C" w14:textId="77777777" w:rsidR="00F942D4" w:rsidRDefault="00F942D4" w:rsidP="006B0BEF">
      <w:pPr>
        <w:pStyle w:val="NoSpacing"/>
        <w:rPr>
          <w:rFonts w:ascii="Aptos" w:hAnsi="Aptos"/>
          <w:b/>
          <w:color w:val="002060"/>
          <w:sz w:val="28"/>
          <w:szCs w:val="28"/>
        </w:rPr>
      </w:pPr>
    </w:p>
    <w:p w14:paraId="0FC7035C" w14:textId="77777777" w:rsidR="00116E7A" w:rsidRDefault="00116E7A" w:rsidP="006B0BEF">
      <w:pPr>
        <w:pStyle w:val="NoSpacing"/>
        <w:rPr>
          <w:rFonts w:ascii="Aptos" w:hAnsi="Aptos"/>
          <w:b/>
          <w:color w:val="002060"/>
          <w:sz w:val="28"/>
          <w:szCs w:val="28"/>
        </w:rPr>
      </w:pPr>
    </w:p>
    <w:p w14:paraId="296D74DC" w14:textId="144AAC77" w:rsidR="006F2872" w:rsidRPr="00864CC5" w:rsidRDefault="00F33C7E" w:rsidP="006B0BEF">
      <w:pPr>
        <w:pStyle w:val="NoSpacing"/>
        <w:rPr>
          <w:rFonts w:ascii="Aptos" w:hAnsi="Aptos"/>
          <w:b/>
          <w:sz w:val="24"/>
          <w:szCs w:val="24"/>
          <w:u w:val="single"/>
        </w:rPr>
      </w:pPr>
      <w:r w:rsidRPr="00864CC5">
        <w:rPr>
          <w:rFonts w:ascii="Aptos" w:hAnsi="Aptos"/>
          <w:b/>
          <w:color w:val="002060"/>
          <w:sz w:val="28"/>
          <w:szCs w:val="28"/>
        </w:rPr>
        <w:lastRenderedPageBreak/>
        <w:t>Recognition Categories</w:t>
      </w:r>
      <w:r w:rsidR="00221153" w:rsidRPr="00864CC5">
        <w:rPr>
          <w:rFonts w:ascii="Aptos" w:hAnsi="Aptos"/>
          <w:b/>
          <w:color w:val="002060"/>
          <w:sz w:val="28"/>
          <w:szCs w:val="28"/>
        </w:rPr>
        <w:t xml:space="preserve">   </w:t>
      </w:r>
    </w:p>
    <w:p w14:paraId="6728D218" w14:textId="77777777" w:rsidR="001523A9" w:rsidRPr="00864CC5" w:rsidRDefault="001523A9" w:rsidP="006B0BEF">
      <w:pPr>
        <w:pStyle w:val="NoSpacing"/>
        <w:rPr>
          <w:rFonts w:ascii="Aptos" w:hAnsi="Aptos"/>
          <w:b/>
          <w:sz w:val="24"/>
          <w:szCs w:val="24"/>
          <w:u w:val="single"/>
        </w:rPr>
      </w:pPr>
    </w:p>
    <w:p w14:paraId="32FE9606" w14:textId="54E11690" w:rsidR="002E6487" w:rsidRPr="00864CC5" w:rsidRDefault="002E6487" w:rsidP="006B0BEF">
      <w:pPr>
        <w:spacing w:line="240" w:lineRule="auto"/>
        <w:rPr>
          <w:rFonts w:ascii="Aptos" w:hAnsi="Aptos" w:cstheme="minorHAnsi"/>
        </w:rPr>
      </w:pPr>
      <w:r w:rsidRPr="00864CC5">
        <w:rPr>
          <w:rFonts w:ascii="Aptos" w:hAnsi="Aptos" w:cstheme="minorHAnsi"/>
          <w:b/>
          <w:bCs/>
        </w:rPr>
        <w:t>Compensation &amp; Benefits</w:t>
      </w:r>
      <w:r w:rsidR="006B0BEF" w:rsidRPr="00864CC5">
        <w:rPr>
          <w:rFonts w:ascii="Aptos" w:hAnsi="Aptos" w:cstheme="minorHAnsi"/>
          <w:b/>
          <w:bCs/>
        </w:rPr>
        <w:br/>
      </w:r>
      <w:r w:rsidR="00A80A2D" w:rsidRPr="00864CC5">
        <w:rPr>
          <w:rFonts w:ascii="Aptos" w:hAnsi="Aptos" w:cstheme="minorHAnsi"/>
        </w:rPr>
        <w:t>The perception that one is compensated fairly and that benefits are adequate plays an important role in employees feeling valued and respected. This recognition category is based on survey items capturing satisfaction with the benefits offered and compensation.</w:t>
      </w:r>
    </w:p>
    <w:p w14:paraId="15707531" w14:textId="237742D0" w:rsidR="002B399D" w:rsidRPr="00864CC5" w:rsidRDefault="002B399D" w:rsidP="006B0BEF">
      <w:pPr>
        <w:spacing w:line="240" w:lineRule="auto"/>
        <w:rPr>
          <w:rFonts w:ascii="Aptos" w:hAnsi="Aptos" w:cstheme="minorHAnsi"/>
        </w:rPr>
      </w:pPr>
      <w:r w:rsidRPr="00864CC5">
        <w:rPr>
          <w:rFonts w:ascii="Aptos" w:hAnsi="Aptos" w:cstheme="minorHAnsi"/>
          <w:b/>
          <w:bCs/>
        </w:rPr>
        <w:t>Confidence in Senior Leadership</w:t>
      </w:r>
      <w:r w:rsidRPr="00864CC5">
        <w:rPr>
          <w:rFonts w:ascii="Aptos" w:hAnsi="Aptos" w:cstheme="minorHAnsi"/>
          <w:b/>
          <w:bCs/>
        </w:rPr>
        <w:br/>
      </w:r>
      <w:r w:rsidRPr="00864CC5">
        <w:rPr>
          <w:rFonts w:ascii="Aptos" w:hAnsi="Aptos" w:cstheme="minorHAnsi"/>
        </w:rPr>
        <w:t xml:space="preserve">This recognition category is based on the expressed confidence faculty and staff report in the capabilities and credibility of senior leadership. In the Great Colleges to Work For program, “senior leadership” is defined as the most senior members of the institution (e.g., chancellor or president and those who report directly to him/her). </w:t>
      </w:r>
    </w:p>
    <w:p w14:paraId="437DF942" w14:textId="0D966E38" w:rsidR="002B399D" w:rsidRPr="00864CC5" w:rsidRDefault="002B399D" w:rsidP="006B0BEF">
      <w:pPr>
        <w:spacing w:line="240" w:lineRule="auto"/>
        <w:rPr>
          <w:rFonts w:ascii="Aptos" w:hAnsi="Aptos" w:cstheme="minorHAnsi"/>
        </w:rPr>
      </w:pPr>
      <w:r w:rsidRPr="00864CC5">
        <w:rPr>
          <w:rFonts w:ascii="Aptos" w:hAnsi="Aptos" w:cstheme="minorHAnsi"/>
          <w:b/>
          <w:bCs/>
        </w:rPr>
        <w:t>Diversity, Inclusion &amp; Belonging</w:t>
      </w:r>
      <w:r w:rsidRPr="00864CC5">
        <w:rPr>
          <w:rFonts w:ascii="Aptos" w:hAnsi="Aptos" w:cstheme="minorHAnsi"/>
          <w:b/>
          <w:bCs/>
        </w:rPr>
        <w:br/>
      </w:r>
      <w:r w:rsidRPr="00864CC5">
        <w:rPr>
          <w:rFonts w:ascii="Aptos" w:hAnsi="Aptos" w:cstheme="minorHAnsi"/>
        </w:rPr>
        <w:t xml:space="preserve">This recognition category is reserved for program participants who are demonstrating an institutionalized commitment to diversity, as reported through the experiences of faculty and staff. It is based on measures of individual experiences of inclusion and belonging, as well as measures of the impact of institutional diversity policies and procedures at the individual level. </w:t>
      </w:r>
    </w:p>
    <w:p w14:paraId="264AA437" w14:textId="00F17D5C" w:rsidR="00DF251B" w:rsidRPr="00864CC5" w:rsidRDefault="00DF251B" w:rsidP="00DF251B">
      <w:pPr>
        <w:rPr>
          <w:rFonts w:ascii="Aptos" w:hAnsi="Aptos"/>
        </w:rPr>
      </w:pPr>
      <w:r w:rsidRPr="00864CC5">
        <w:rPr>
          <w:rFonts w:ascii="Aptos" w:hAnsi="Aptos"/>
          <w:b/>
          <w:bCs/>
        </w:rPr>
        <w:t>Faculty Experience (Only Faculty and Adjunct Faculty Considered)</w:t>
      </w:r>
      <w:r w:rsidRPr="00864CC5">
        <w:rPr>
          <w:rFonts w:ascii="Aptos" w:hAnsi="Aptos"/>
          <w:b/>
          <w:bCs/>
        </w:rPr>
        <w:br/>
      </w:r>
      <w:r w:rsidRPr="003F37E1">
        <w:rPr>
          <w:rFonts w:ascii="Aptos" w:hAnsi="Aptos" w:cstheme="minorHAnsi"/>
        </w:rPr>
        <w:t>Faculty have a unique role in the life of a university and there are some elements of their specific employment experience – the support for advancement and promotion opportunities and the perceived balance of teaching, service and research, for example – that are uniquely viewed through the faculty lens. This recognition category is based on the faculty responses to the survey items addressing these topics.</w:t>
      </w:r>
    </w:p>
    <w:p w14:paraId="1195EF69" w14:textId="73E68675" w:rsidR="00DF251B" w:rsidRPr="00864CC5" w:rsidRDefault="00DF251B" w:rsidP="00DF251B">
      <w:pPr>
        <w:spacing w:line="240" w:lineRule="auto"/>
        <w:rPr>
          <w:rFonts w:ascii="Aptos" w:hAnsi="Aptos" w:cstheme="minorHAnsi"/>
        </w:rPr>
      </w:pPr>
      <w:r w:rsidRPr="00864CC5">
        <w:rPr>
          <w:rFonts w:ascii="Aptos" w:hAnsi="Aptos" w:cstheme="minorHAnsi"/>
          <w:b/>
          <w:bCs/>
        </w:rPr>
        <w:t>Faculty &amp; Staff Well-being</w:t>
      </w:r>
      <w:r w:rsidRPr="00864CC5">
        <w:rPr>
          <w:rFonts w:ascii="Aptos" w:hAnsi="Aptos" w:cstheme="minorHAnsi"/>
          <w:b/>
          <w:bCs/>
        </w:rPr>
        <w:br/>
      </w:r>
      <w:r w:rsidRPr="00864CC5">
        <w:rPr>
          <w:rFonts w:ascii="Aptos" w:hAnsi="Aptos" w:cstheme="minorHAnsi"/>
        </w:rPr>
        <w:t>With roots in work/life balance and wellness models, this recognition category is based on the impact of one’s employment experience on their well-being (e.g., the opportunity to do meaningful work, the support for work/life balance and the experience of a safe working environment).</w:t>
      </w:r>
    </w:p>
    <w:p w14:paraId="0A55A18F" w14:textId="0F67999D" w:rsidR="00DF251B" w:rsidRPr="00864CC5" w:rsidRDefault="00DF251B" w:rsidP="00DF251B">
      <w:pPr>
        <w:spacing w:line="240" w:lineRule="auto"/>
        <w:rPr>
          <w:rFonts w:ascii="Aptos" w:hAnsi="Aptos" w:cstheme="minorHAnsi"/>
        </w:rPr>
      </w:pPr>
      <w:r w:rsidRPr="00864CC5">
        <w:rPr>
          <w:rFonts w:ascii="Aptos" w:hAnsi="Aptos" w:cstheme="minorHAnsi"/>
          <w:b/>
          <w:bCs/>
        </w:rPr>
        <w:t>Job Satisfaction &amp; Support</w:t>
      </w:r>
      <w:r w:rsidRPr="00864CC5">
        <w:rPr>
          <w:rFonts w:ascii="Aptos" w:hAnsi="Aptos" w:cstheme="minorHAnsi"/>
          <w:b/>
          <w:bCs/>
        </w:rPr>
        <w:br/>
      </w:r>
      <w:r w:rsidRPr="00864CC5">
        <w:rPr>
          <w:rFonts w:ascii="Aptos" w:hAnsi="Aptos" w:cstheme="minorHAnsi"/>
        </w:rPr>
        <w:t xml:space="preserve">This recognition category is based on satisfaction with job fit, autonomy and resources. High degrees of job satisfaction are essential to an engaged workforce. </w:t>
      </w:r>
    </w:p>
    <w:p w14:paraId="7DE4F381" w14:textId="3A807178" w:rsidR="00DF251B" w:rsidRPr="00864CC5" w:rsidRDefault="00DF251B" w:rsidP="00DF251B">
      <w:pPr>
        <w:spacing w:line="240" w:lineRule="auto"/>
        <w:rPr>
          <w:rFonts w:ascii="Aptos" w:hAnsi="Aptos" w:cstheme="minorHAnsi"/>
          <w:b/>
          <w:bCs/>
        </w:rPr>
      </w:pPr>
      <w:r w:rsidRPr="00864CC5">
        <w:rPr>
          <w:rFonts w:ascii="Aptos" w:hAnsi="Aptos" w:cstheme="minorHAnsi"/>
          <w:b/>
          <w:bCs/>
        </w:rPr>
        <w:t>Mission &amp; Pride</w:t>
      </w:r>
      <w:r w:rsidRPr="00864CC5">
        <w:rPr>
          <w:rFonts w:ascii="Aptos" w:hAnsi="Aptos" w:cstheme="minorHAnsi"/>
          <w:b/>
          <w:bCs/>
        </w:rPr>
        <w:br/>
      </w:r>
      <w:r w:rsidRPr="00864CC5">
        <w:rPr>
          <w:rFonts w:ascii="Aptos" w:hAnsi="Aptos" w:cstheme="minorHAnsi"/>
        </w:rPr>
        <w:t xml:space="preserve">Understanding an institution’s mission </w:t>
      </w:r>
      <w:r w:rsidRPr="00864CC5">
        <w:rPr>
          <w:rFonts w:ascii="Aptos" w:hAnsi="Aptos" w:cstheme="minorHAnsi"/>
          <w:i/>
          <w:iCs/>
        </w:rPr>
        <w:t>and</w:t>
      </w:r>
      <w:r w:rsidRPr="00864CC5">
        <w:rPr>
          <w:rFonts w:ascii="Aptos" w:hAnsi="Aptos" w:cstheme="minorHAnsi"/>
        </w:rPr>
        <w:t xml:space="preserve"> how one’s job impacts that mission are considered primary drivers to faculty/staff engagement. In addition to mission understanding, this category is based on survey items that provide insight into the level of pride in being associated with the institution and the willingness to recommend the institution as an employer.</w:t>
      </w:r>
    </w:p>
    <w:p w14:paraId="49D4A001" w14:textId="38B91C29" w:rsidR="00F061A8" w:rsidRPr="008430EA" w:rsidRDefault="002E6487" w:rsidP="006B0BEF">
      <w:pPr>
        <w:spacing w:line="240" w:lineRule="auto"/>
        <w:rPr>
          <w:rFonts w:ascii="Aptos" w:hAnsi="Aptos" w:cstheme="minorHAnsi"/>
        </w:rPr>
      </w:pPr>
      <w:r w:rsidRPr="00864CC5">
        <w:rPr>
          <w:rFonts w:ascii="Aptos" w:hAnsi="Aptos" w:cstheme="minorHAnsi"/>
          <w:b/>
          <w:bCs/>
        </w:rPr>
        <w:t>Professional Development</w:t>
      </w:r>
      <w:r w:rsidRPr="00864CC5">
        <w:rPr>
          <w:rFonts w:ascii="Aptos" w:hAnsi="Aptos" w:cstheme="minorHAnsi"/>
          <w:b/>
          <w:bCs/>
        </w:rPr>
        <w:br/>
      </w:r>
      <w:r w:rsidRPr="00864CC5">
        <w:rPr>
          <w:rFonts w:ascii="Aptos" w:hAnsi="Aptos" w:cstheme="minorHAnsi"/>
        </w:rPr>
        <w:t xml:space="preserve">Support for faculty/staff professional development is critical both in terms of building organizational capacity and supporting individual development needs. This recognition category is based on survey items related to onboarding processes, professional development opportunities, and support for career development. </w:t>
      </w:r>
    </w:p>
    <w:p w14:paraId="56C10E38" w14:textId="77777777" w:rsidR="008430EA" w:rsidRDefault="008430EA" w:rsidP="006B0BEF">
      <w:pPr>
        <w:spacing w:line="240" w:lineRule="auto"/>
        <w:rPr>
          <w:rFonts w:ascii="Aptos" w:hAnsi="Aptos" w:cstheme="minorHAnsi"/>
          <w:b/>
          <w:bCs/>
        </w:rPr>
      </w:pPr>
    </w:p>
    <w:p w14:paraId="33CBF400" w14:textId="77777777" w:rsidR="008430EA" w:rsidRDefault="008430EA" w:rsidP="006B0BEF">
      <w:pPr>
        <w:spacing w:line="240" w:lineRule="auto"/>
        <w:rPr>
          <w:rFonts w:ascii="Aptos" w:hAnsi="Aptos" w:cstheme="minorHAnsi"/>
          <w:b/>
          <w:bCs/>
        </w:rPr>
      </w:pPr>
    </w:p>
    <w:p w14:paraId="45C2BB4E" w14:textId="474B6E1C" w:rsidR="00DF251B" w:rsidRPr="00864CC5" w:rsidRDefault="00DF251B" w:rsidP="006B0BEF">
      <w:pPr>
        <w:spacing w:line="240" w:lineRule="auto"/>
        <w:rPr>
          <w:rFonts w:ascii="Aptos" w:hAnsi="Aptos" w:cstheme="minorHAnsi"/>
          <w:b/>
          <w:bCs/>
        </w:rPr>
      </w:pPr>
      <w:r w:rsidRPr="00864CC5">
        <w:rPr>
          <w:rFonts w:ascii="Aptos" w:hAnsi="Aptos" w:cstheme="minorHAnsi"/>
          <w:b/>
          <w:bCs/>
        </w:rPr>
        <w:lastRenderedPageBreak/>
        <w:t xml:space="preserve">Shared Governance </w:t>
      </w:r>
      <w:r w:rsidRPr="00864CC5">
        <w:rPr>
          <w:rFonts w:ascii="Aptos" w:hAnsi="Aptos"/>
          <w:b/>
          <w:bCs/>
        </w:rPr>
        <w:t>(Only Faculty and Adjunct Faculty Considered)</w:t>
      </w:r>
      <w:r w:rsidRPr="00864CC5">
        <w:rPr>
          <w:rFonts w:ascii="Aptos" w:hAnsi="Aptos" w:cstheme="minorHAnsi"/>
          <w:b/>
          <w:bCs/>
        </w:rPr>
        <w:br/>
      </w:r>
      <w:r w:rsidRPr="00864CC5">
        <w:rPr>
          <w:rFonts w:ascii="Aptos" w:hAnsi="Aptos" w:cstheme="minorHAnsi"/>
        </w:rPr>
        <w:t>The concept of shared governance is one of the most widely valued and deeply respected traditions within higher education. For many Faculty, it is a core part of their experience. Consequently, this recognition category is based on Faculty responses to the survey items on collaborative governance processes and decision-making. We also include the responses of Adjunct Faculty respondents from two-year institutions.</w:t>
      </w:r>
    </w:p>
    <w:p w14:paraId="6275F441" w14:textId="52AAAF49" w:rsidR="002E6487" w:rsidRPr="00864CC5" w:rsidRDefault="002E6487" w:rsidP="006B0BEF">
      <w:pPr>
        <w:spacing w:line="240" w:lineRule="auto"/>
        <w:rPr>
          <w:rFonts w:ascii="Aptos" w:hAnsi="Aptos" w:cstheme="minorHAnsi"/>
          <w:b/>
          <w:bCs/>
        </w:rPr>
      </w:pPr>
      <w:r w:rsidRPr="00864CC5">
        <w:rPr>
          <w:rFonts w:ascii="Aptos" w:hAnsi="Aptos" w:cstheme="minorHAnsi"/>
          <w:b/>
          <w:bCs/>
        </w:rPr>
        <w:t>Supervisor/Department Chair Effectiveness</w:t>
      </w:r>
      <w:r w:rsidRPr="00864CC5">
        <w:rPr>
          <w:rFonts w:ascii="Aptos" w:hAnsi="Aptos" w:cstheme="minorHAnsi"/>
          <w:b/>
          <w:bCs/>
        </w:rPr>
        <w:br/>
      </w:r>
      <w:r w:rsidRPr="00864CC5">
        <w:rPr>
          <w:rFonts w:ascii="Aptos" w:hAnsi="Aptos" w:cstheme="minorHAnsi"/>
        </w:rPr>
        <w:t xml:space="preserve">It is widely regarded that the experience of one’s immediate supervisor is among the most important factors influencing whether an employee is truly engaged. This recognition category is based on the survey items providing insight into critical managerial competencies such as providing clear direction and constructive </w:t>
      </w:r>
      <w:r w:rsidR="00F816A4" w:rsidRPr="00864CC5">
        <w:rPr>
          <w:rFonts w:ascii="Aptos" w:hAnsi="Aptos" w:cstheme="minorHAnsi"/>
        </w:rPr>
        <w:t>feedback and</w:t>
      </w:r>
      <w:r w:rsidRPr="00864CC5">
        <w:rPr>
          <w:rFonts w:ascii="Aptos" w:hAnsi="Aptos" w:cstheme="minorHAnsi"/>
        </w:rPr>
        <w:t xml:space="preserve"> ensuring effective communication and equitable treatment. </w:t>
      </w:r>
    </w:p>
    <w:p w14:paraId="77175606" w14:textId="77777777" w:rsidR="00F545A6" w:rsidRPr="00864CC5" w:rsidRDefault="00F545A6" w:rsidP="00F545A6">
      <w:pPr>
        <w:pStyle w:val="NoSpacing"/>
        <w:spacing w:line="276" w:lineRule="auto"/>
        <w:rPr>
          <w:rFonts w:ascii="Aptos" w:eastAsia="Times New Roman" w:hAnsi="Aptos"/>
        </w:rPr>
      </w:pPr>
    </w:p>
    <w:p w14:paraId="4A852CC9" w14:textId="5CF605F8" w:rsidR="002F5034" w:rsidRPr="00864CC5" w:rsidRDefault="00080162" w:rsidP="00792746">
      <w:pPr>
        <w:spacing w:line="240" w:lineRule="auto"/>
        <w:rPr>
          <w:rFonts w:ascii="Aptos" w:hAnsi="Aptos"/>
        </w:rPr>
      </w:pPr>
      <w:r w:rsidRPr="00864CC5">
        <w:rPr>
          <w:rFonts w:ascii="Aptos" w:hAnsi="Aptos"/>
          <w:b/>
          <w:color w:val="002060"/>
          <w:sz w:val="28"/>
          <w:szCs w:val="28"/>
        </w:rPr>
        <w:t xml:space="preserve">Quotes from </w:t>
      </w:r>
      <w:r w:rsidR="00DB779E" w:rsidRPr="00864CC5">
        <w:rPr>
          <w:rFonts w:ascii="Aptos" w:hAnsi="Aptos"/>
          <w:b/>
          <w:color w:val="002060"/>
          <w:sz w:val="28"/>
          <w:szCs w:val="28"/>
        </w:rPr>
        <w:t xml:space="preserve">Richard K. Boyer, </w:t>
      </w:r>
      <w:r w:rsidR="000F59C0" w:rsidRPr="00864CC5">
        <w:rPr>
          <w:rFonts w:ascii="Aptos" w:hAnsi="Aptos"/>
          <w:b/>
          <w:color w:val="002060"/>
          <w:sz w:val="28"/>
          <w:szCs w:val="28"/>
        </w:rPr>
        <w:t>Chief Culture Strategist</w:t>
      </w:r>
      <w:r w:rsidR="00DB779E" w:rsidRPr="00864CC5">
        <w:rPr>
          <w:rFonts w:ascii="Aptos" w:hAnsi="Aptos"/>
          <w:b/>
          <w:color w:val="002060"/>
          <w:sz w:val="28"/>
          <w:szCs w:val="28"/>
        </w:rPr>
        <w:t xml:space="preserve"> at ModernThink</w:t>
      </w:r>
      <w:bookmarkStart w:id="0" w:name="_MailOriginal"/>
    </w:p>
    <w:p w14:paraId="078DCEB1" w14:textId="0F594D6D" w:rsidR="002F5034" w:rsidRDefault="002F5034" w:rsidP="00331A59">
      <w:pPr>
        <w:pStyle w:val="NoSpacing"/>
        <w:rPr>
          <w:rFonts w:ascii="Aptos" w:hAnsi="Aptos"/>
        </w:rPr>
      </w:pPr>
      <w:r w:rsidRPr="00331A59">
        <w:rPr>
          <w:rFonts w:ascii="Aptos" w:hAnsi="Aptos"/>
        </w:rPr>
        <w:t>“There can be no doubt the stresses and challenges facing higher education today are collectively unprecedented. And it seems as if there’s some new threat emerging on a weekly basis. But in this moment, in the 2024 Great Colleges to Work For awardees, we have examples of institutions that have navigated these tumultuous times holding true to their missions and values and never losing sight of the importance of their people.”</w:t>
      </w:r>
    </w:p>
    <w:p w14:paraId="0F41EF20" w14:textId="77777777" w:rsidR="00331A59" w:rsidRPr="00331A59" w:rsidRDefault="00331A59" w:rsidP="00331A59">
      <w:pPr>
        <w:pStyle w:val="NoSpacing"/>
        <w:rPr>
          <w:rFonts w:ascii="Aptos" w:hAnsi="Aptos"/>
        </w:rPr>
      </w:pPr>
    </w:p>
    <w:p w14:paraId="1B4726C1" w14:textId="29312A55" w:rsidR="002F5034" w:rsidRDefault="002F5034" w:rsidP="00331A59">
      <w:pPr>
        <w:pStyle w:val="NoSpacing"/>
        <w:rPr>
          <w:rFonts w:ascii="Aptos" w:hAnsi="Aptos"/>
        </w:rPr>
      </w:pPr>
      <w:r w:rsidRPr="00331A59">
        <w:rPr>
          <w:rFonts w:ascii="Aptos" w:hAnsi="Aptos"/>
        </w:rPr>
        <w:t xml:space="preserve">“If you’re seeking inspiration, look no further than the 2024 Great Colleges to Work </w:t>
      </w:r>
      <w:proofErr w:type="gramStart"/>
      <w:r w:rsidRPr="00331A59">
        <w:rPr>
          <w:rFonts w:ascii="Aptos" w:hAnsi="Aptos"/>
        </w:rPr>
        <w:t>For</w:t>
      </w:r>
      <w:proofErr w:type="gramEnd"/>
      <w:r w:rsidRPr="00331A59">
        <w:rPr>
          <w:rFonts w:ascii="Aptos" w:hAnsi="Aptos"/>
        </w:rPr>
        <w:t xml:space="preserve"> Honor Roll institutions. Their commitment to the quality of the workplace experience for of their faculty and staff has been steadfast and the spirit of resilience they’ve cultivated brings the members of these institutions together in ways that inspire confidence, community, and optimism.”</w:t>
      </w:r>
    </w:p>
    <w:p w14:paraId="0618379B" w14:textId="77777777" w:rsidR="00331A59" w:rsidRPr="00331A59" w:rsidRDefault="00331A59" w:rsidP="00331A59">
      <w:pPr>
        <w:pStyle w:val="NoSpacing"/>
        <w:rPr>
          <w:rFonts w:ascii="Aptos" w:hAnsi="Aptos"/>
        </w:rPr>
      </w:pPr>
    </w:p>
    <w:p w14:paraId="5512592B" w14:textId="245747BE" w:rsidR="00CE1342" w:rsidRDefault="002F5034" w:rsidP="00331A59">
      <w:pPr>
        <w:pStyle w:val="NoSpacing"/>
        <w:rPr>
          <w:rFonts w:ascii="Aptos" w:hAnsi="Aptos"/>
        </w:rPr>
      </w:pPr>
      <w:r w:rsidRPr="00331A59">
        <w:rPr>
          <w:rFonts w:ascii="Aptos" w:hAnsi="Aptos"/>
        </w:rPr>
        <w:t xml:space="preserve">“As we emerge from the trauma of the last four years there’s been a lot of talk (and action!) around the well-being of faculty, staff, and students. In the face of rising levels of burnout and mental health concerns, that focus on the individual members of our community has been critical. The 2024 Great Colleges participants have brought similar intentions to the well-being of the institution, not just </w:t>
      </w:r>
      <w:proofErr w:type="gramStart"/>
      <w:r w:rsidRPr="00331A59">
        <w:rPr>
          <w:rFonts w:ascii="Aptos" w:hAnsi="Aptos"/>
        </w:rPr>
        <w:t>it’s</w:t>
      </w:r>
      <w:proofErr w:type="gramEnd"/>
      <w:r w:rsidRPr="00331A59">
        <w:rPr>
          <w:rFonts w:ascii="Aptos" w:hAnsi="Aptos"/>
        </w:rPr>
        <w:t xml:space="preserve"> individual members. Their commitment to workplace quality and their stewardship of culture positions them well to navigate the continuing challenges higher education faces today.”</w:t>
      </w:r>
      <w:bookmarkEnd w:id="0"/>
    </w:p>
    <w:p w14:paraId="0F48FF20" w14:textId="77777777" w:rsidR="00835B31" w:rsidRPr="00331A59" w:rsidRDefault="00835B31" w:rsidP="00331A59">
      <w:pPr>
        <w:pStyle w:val="NoSpacing"/>
        <w:rPr>
          <w:rFonts w:ascii="Aptos" w:hAnsi="Aptos"/>
        </w:rPr>
      </w:pPr>
    </w:p>
    <w:p w14:paraId="51FCD67B" w14:textId="63C69A17" w:rsidR="006F2872" w:rsidRPr="00864CC5" w:rsidRDefault="006F2872" w:rsidP="000D230D">
      <w:pPr>
        <w:spacing w:line="240" w:lineRule="auto"/>
        <w:rPr>
          <w:rFonts w:ascii="Aptos" w:hAnsi="Aptos"/>
        </w:rPr>
      </w:pPr>
      <w:r w:rsidRPr="00864CC5">
        <w:rPr>
          <w:rFonts w:ascii="Aptos" w:hAnsi="Aptos"/>
          <w:b/>
          <w:color w:val="002060"/>
          <w:sz w:val="28"/>
          <w:szCs w:val="28"/>
        </w:rPr>
        <w:t xml:space="preserve">About ModernThink </w:t>
      </w:r>
      <w:r w:rsidR="00C17487" w:rsidRPr="00864CC5">
        <w:rPr>
          <w:rFonts w:ascii="Aptos" w:hAnsi="Aptos"/>
          <w:b/>
          <w:color w:val="002060"/>
          <w:sz w:val="28"/>
          <w:szCs w:val="28"/>
        </w:rPr>
        <w:t>LLC</w:t>
      </w:r>
    </w:p>
    <w:p w14:paraId="6BBD065F" w14:textId="77777777" w:rsidR="006F2872" w:rsidRPr="00864CC5" w:rsidRDefault="006F2872" w:rsidP="00BA353B">
      <w:pPr>
        <w:pStyle w:val="NoSpacing"/>
        <w:rPr>
          <w:rFonts w:ascii="Aptos" w:hAnsi="Aptos"/>
        </w:rPr>
      </w:pPr>
      <w:r w:rsidRPr="00864CC5">
        <w:rPr>
          <w:rFonts w:ascii="Aptos" w:hAnsi="Aptos"/>
        </w:rPr>
        <w:t>As a research and consulting leader in workplace issues, ModernThink has su</w:t>
      </w:r>
      <w:r w:rsidR="006E268A" w:rsidRPr="00864CC5">
        <w:rPr>
          <w:rFonts w:ascii="Aptos" w:hAnsi="Aptos"/>
        </w:rPr>
        <w:t xml:space="preserve">pported a wide variety of “Best </w:t>
      </w:r>
      <w:r w:rsidRPr="00864CC5">
        <w:rPr>
          <w:rFonts w:ascii="Aptos" w:hAnsi="Aptos"/>
        </w:rPr>
        <w:t xml:space="preserve">Place to Work” initiatives. Through these programs, the firm has gained </w:t>
      </w:r>
      <w:r w:rsidR="006E268A" w:rsidRPr="00864CC5">
        <w:rPr>
          <w:rFonts w:ascii="Aptos" w:hAnsi="Aptos"/>
        </w:rPr>
        <w:t xml:space="preserve">substantial survey and industry </w:t>
      </w:r>
      <w:r w:rsidRPr="00864CC5">
        <w:rPr>
          <w:rFonts w:ascii="Aptos" w:hAnsi="Aptos"/>
        </w:rPr>
        <w:t>expertise, including specific insight into higher education. ModernThink knows</w:t>
      </w:r>
      <w:r w:rsidR="006E268A" w:rsidRPr="00864CC5">
        <w:rPr>
          <w:rFonts w:ascii="Aptos" w:hAnsi="Aptos"/>
        </w:rPr>
        <w:t xml:space="preserve"> what it takes to build a great </w:t>
      </w:r>
      <w:r w:rsidRPr="00864CC5">
        <w:rPr>
          <w:rFonts w:ascii="Aptos" w:hAnsi="Aptos"/>
        </w:rPr>
        <w:t>place to work and shares that know-how with its clients. The ModernThink</w:t>
      </w:r>
      <w:r w:rsidR="006E268A" w:rsidRPr="00864CC5">
        <w:rPr>
          <w:rFonts w:ascii="Aptos" w:hAnsi="Aptos"/>
        </w:rPr>
        <w:t xml:space="preserve"> team of organizational </w:t>
      </w:r>
      <w:r w:rsidRPr="00864CC5">
        <w:rPr>
          <w:rFonts w:ascii="Aptos" w:hAnsi="Aptos"/>
        </w:rPr>
        <w:t xml:space="preserve">development experts is dedicated to helping colleges follow through </w:t>
      </w:r>
      <w:r w:rsidR="006E268A" w:rsidRPr="00864CC5">
        <w:rPr>
          <w:rFonts w:ascii="Aptos" w:hAnsi="Aptos"/>
        </w:rPr>
        <w:t xml:space="preserve">and capitalize on feedback from </w:t>
      </w:r>
      <w:r w:rsidRPr="00864CC5">
        <w:rPr>
          <w:rFonts w:ascii="Aptos" w:hAnsi="Aptos"/>
        </w:rPr>
        <w:t>employees and benchmark data from peers to drive meaningful change at th</w:t>
      </w:r>
      <w:r w:rsidR="006E268A" w:rsidRPr="00864CC5">
        <w:rPr>
          <w:rFonts w:ascii="Aptos" w:hAnsi="Aptos"/>
        </w:rPr>
        <w:t>eir institutions.  Learn more a</w:t>
      </w:r>
      <w:r w:rsidR="00551578" w:rsidRPr="00864CC5">
        <w:rPr>
          <w:rFonts w:ascii="Aptos" w:hAnsi="Aptos"/>
        </w:rPr>
        <w:t xml:space="preserve">bout the Great Colleges to Work For® program, including all current and previous recognized institutions, at </w:t>
      </w:r>
      <w:r w:rsidR="00C11596" w:rsidRPr="00864CC5">
        <w:rPr>
          <w:rFonts w:ascii="Aptos" w:hAnsi="Aptos"/>
        </w:rPr>
        <w:t>GreatCollegesProgram.com and GreatCollegesList.com,</w:t>
      </w:r>
      <w:r w:rsidR="00551578" w:rsidRPr="00864CC5">
        <w:rPr>
          <w:rFonts w:ascii="Aptos" w:hAnsi="Aptos"/>
        </w:rPr>
        <w:t xml:space="preserve"> and abou</w:t>
      </w:r>
      <w:r w:rsidR="006E268A" w:rsidRPr="00864CC5">
        <w:rPr>
          <w:rFonts w:ascii="Aptos" w:hAnsi="Aptos"/>
        </w:rPr>
        <w:t>t</w:t>
      </w:r>
      <w:r w:rsidR="00551578" w:rsidRPr="00864CC5">
        <w:rPr>
          <w:rFonts w:ascii="Aptos" w:hAnsi="Aptos"/>
        </w:rPr>
        <w:t xml:space="preserve"> ModernThink at</w:t>
      </w:r>
      <w:r w:rsidR="006E268A" w:rsidRPr="00864CC5">
        <w:rPr>
          <w:rFonts w:ascii="Aptos" w:hAnsi="Aptos"/>
        </w:rPr>
        <w:t xml:space="preserve"> </w:t>
      </w:r>
      <w:r w:rsidR="00C11596" w:rsidRPr="00864CC5">
        <w:rPr>
          <w:rFonts w:ascii="Aptos" w:hAnsi="Aptos"/>
        </w:rPr>
        <w:t>ModernThink.com</w:t>
      </w:r>
      <w:r w:rsidRPr="00864CC5">
        <w:rPr>
          <w:rFonts w:ascii="Aptos" w:hAnsi="Aptos"/>
        </w:rPr>
        <w:t>.</w:t>
      </w:r>
    </w:p>
    <w:p w14:paraId="7CADBD97" w14:textId="77777777" w:rsidR="00102A71" w:rsidRDefault="00102A71" w:rsidP="006F2872">
      <w:pPr>
        <w:pStyle w:val="NoSpacing"/>
        <w:pBdr>
          <w:bottom w:val="single" w:sz="6" w:space="1" w:color="auto"/>
        </w:pBdr>
        <w:rPr>
          <w:rFonts w:ascii="Aptos" w:hAnsi="Aptos"/>
        </w:rPr>
      </w:pPr>
    </w:p>
    <w:p w14:paraId="757EF2EA" w14:textId="77777777" w:rsidR="008430EA" w:rsidRPr="00864CC5" w:rsidRDefault="008430EA" w:rsidP="006F2872">
      <w:pPr>
        <w:pStyle w:val="NoSpacing"/>
        <w:pBdr>
          <w:bottom w:val="single" w:sz="6" w:space="1" w:color="auto"/>
        </w:pBdr>
        <w:rPr>
          <w:rFonts w:ascii="Aptos" w:hAnsi="Aptos"/>
        </w:rPr>
      </w:pPr>
    </w:p>
    <w:p w14:paraId="368E2B59" w14:textId="77777777" w:rsidR="00044375" w:rsidRPr="00864CC5" w:rsidRDefault="00044375" w:rsidP="00A16369">
      <w:pPr>
        <w:rPr>
          <w:rFonts w:ascii="Aptos" w:hAnsi="Aptos"/>
          <w:b/>
        </w:rPr>
      </w:pPr>
    </w:p>
    <w:p w14:paraId="3FD06BD0" w14:textId="7A9AE0F9" w:rsidR="00A16369" w:rsidRPr="00864CC5" w:rsidRDefault="00551578" w:rsidP="00A16369">
      <w:pPr>
        <w:rPr>
          <w:rFonts w:ascii="Aptos" w:hAnsi="Aptos"/>
          <w:b/>
          <w:color w:val="002060"/>
          <w:sz w:val="28"/>
          <w:szCs w:val="28"/>
        </w:rPr>
      </w:pPr>
      <w:r w:rsidRPr="00864CC5">
        <w:rPr>
          <w:rFonts w:ascii="Aptos" w:hAnsi="Aptos"/>
          <w:b/>
          <w:color w:val="002060"/>
          <w:sz w:val="28"/>
          <w:szCs w:val="28"/>
        </w:rPr>
        <w:lastRenderedPageBreak/>
        <w:t>S</w:t>
      </w:r>
      <w:r w:rsidR="00EE3043" w:rsidRPr="00864CC5">
        <w:rPr>
          <w:rFonts w:ascii="Aptos" w:hAnsi="Aptos"/>
          <w:b/>
          <w:color w:val="002060"/>
          <w:sz w:val="28"/>
          <w:szCs w:val="28"/>
        </w:rPr>
        <w:t>ample Press Release</w:t>
      </w:r>
    </w:p>
    <w:p w14:paraId="39C4DD5C" w14:textId="1C9DF239" w:rsidR="00BC2448" w:rsidRPr="00864CC5" w:rsidRDefault="00CF5988" w:rsidP="00A16369">
      <w:pPr>
        <w:rPr>
          <w:rFonts w:ascii="Aptos" w:hAnsi="Aptos"/>
          <w:b/>
          <w:i/>
          <w:iCs/>
        </w:rPr>
      </w:pPr>
      <w:r w:rsidRPr="00864CC5">
        <w:rPr>
          <w:rFonts w:ascii="Aptos" w:hAnsi="Aptos"/>
          <w:b/>
          <w:i/>
          <w:iCs/>
        </w:rPr>
        <w:t xml:space="preserve">THIS INFORMATION IS UNDER EMBARGO UNTIL: </w:t>
      </w:r>
      <w:r w:rsidR="00872D8F" w:rsidRPr="002D6691">
        <w:rPr>
          <w:rFonts w:ascii="Aptos" w:hAnsi="Aptos"/>
          <w:b/>
          <w:i/>
          <w:iCs/>
          <w:color w:val="FF0000"/>
          <w:sz w:val="21"/>
          <w:szCs w:val="21"/>
        </w:rPr>
        <w:t>Friday</w:t>
      </w:r>
      <w:r w:rsidR="00A16369" w:rsidRPr="002D6691">
        <w:rPr>
          <w:rFonts w:ascii="Aptos" w:hAnsi="Aptos"/>
          <w:b/>
          <w:i/>
          <w:iCs/>
          <w:color w:val="FF0000"/>
          <w:sz w:val="21"/>
          <w:szCs w:val="21"/>
        </w:rPr>
        <w:t xml:space="preserve">, September </w:t>
      </w:r>
      <w:r w:rsidR="00E23B5B" w:rsidRPr="002D6691">
        <w:rPr>
          <w:rFonts w:ascii="Aptos" w:hAnsi="Aptos"/>
          <w:b/>
          <w:i/>
          <w:iCs/>
          <w:color w:val="FF0000"/>
          <w:sz w:val="21"/>
          <w:szCs w:val="21"/>
        </w:rPr>
        <w:t>20</w:t>
      </w:r>
      <w:r w:rsidR="00A16369" w:rsidRPr="002D6691">
        <w:rPr>
          <w:rFonts w:ascii="Aptos" w:hAnsi="Aptos"/>
          <w:b/>
          <w:i/>
          <w:iCs/>
          <w:color w:val="FF0000"/>
          <w:sz w:val="21"/>
          <w:szCs w:val="21"/>
        </w:rPr>
        <w:t>, 202</w:t>
      </w:r>
      <w:r w:rsidR="00643481" w:rsidRPr="002D6691">
        <w:rPr>
          <w:rFonts w:ascii="Aptos" w:hAnsi="Aptos"/>
          <w:b/>
          <w:i/>
          <w:iCs/>
          <w:color w:val="FF0000"/>
          <w:sz w:val="21"/>
          <w:szCs w:val="21"/>
        </w:rPr>
        <w:t>4</w:t>
      </w:r>
      <w:r w:rsidRPr="002D6691">
        <w:rPr>
          <w:rFonts w:ascii="Aptos" w:hAnsi="Aptos"/>
          <w:b/>
          <w:i/>
          <w:iCs/>
          <w:color w:val="FF0000"/>
          <w:sz w:val="21"/>
          <w:szCs w:val="21"/>
        </w:rPr>
        <w:t xml:space="preserve"> – </w:t>
      </w:r>
      <w:r w:rsidR="00811DB6" w:rsidRPr="002D6691">
        <w:rPr>
          <w:rFonts w:ascii="Aptos" w:hAnsi="Aptos"/>
          <w:b/>
          <w:i/>
          <w:iCs/>
          <w:color w:val="FF0000"/>
          <w:sz w:val="21"/>
          <w:szCs w:val="21"/>
        </w:rPr>
        <w:t>9</w:t>
      </w:r>
      <w:r w:rsidRPr="002D6691">
        <w:rPr>
          <w:rFonts w:ascii="Aptos" w:hAnsi="Aptos"/>
          <w:b/>
          <w:i/>
          <w:iCs/>
          <w:color w:val="FF0000"/>
          <w:sz w:val="21"/>
          <w:szCs w:val="21"/>
        </w:rPr>
        <w:t>am Eastern Time</w:t>
      </w:r>
    </w:p>
    <w:p w14:paraId="506CE13F" w14:textId="4DBF2115" w:rsidR="006F2872" w:rsidRPr="00864CC5" w:rsidRDefault="006F2872" w:rsidP="00AC4682">
      <w:pPr>
        <w:pStyle w:val="NoSpacing"/>
        <w:jc w:val="center"/>
        <w:rPr>
          <w:rFonts w:ascii="Aptos" w:hAnsi="Aptos"/>
        </w:rPr>
      </w:pPr>
      <w:r w:rsidRPr="00864CC5">
        <w:rPr>
          <w:rFonts w:ascii="Aptos" w:hAnsi="Aptos"/>
          <w:highlight w:val="yellow"/>
        </w:rPr>
        <w:t>[Inst</w:t>
      </w:r>
      <w:r w:rsidR="00CF5988" w:rsidRPr="00864CC5">
        <w:rPr>
          <w:rFonts w:ascii="Aptos" w:hAnsi="Aptos"/>
          <w:highlight w:val="yellow"/>
        </w:rPr>
        <w:t>itution Name Here]</w:t>
      </w:r>
      <w:r w:rsidR="000C5BC6" w:rsidRPr="00864CC5">
        <w:rPr>
          <w:rFonts w:ascii="Aptos" w:hAnsi="Aptos"/>
        </w:rPr>
        <w:t xml:space="preserve"> named a “202</w:t>
      </w:r>
      <w:r w:rsidR="00643481" w:rsidRPr="00864CC5">
        <w:rPr>
          <w:rFonts w:ascii="Aptos" w:hAnsi="Aptos"/>
        </w:rPr>
        <w:t>4</w:t>
      </w:r>
      <w:r w:rsidRPr="00864CC5">
        <w:rPr>
          <w:rFonts w:ascii="Aptos" w:hAnsi="Aptos"/>
        </w:rPr>
        <w:t xml:space="preserve"> Great College to Work For”</w:t>
      </w:r>
    </w:p>
    <w:p w14:paraId="7C0A0B05" w14:textId="77777777" w:rsidR="006F2872" w:rsidRPr="00864CC5" w:rsidRDefault="00BC2448" w:rsidP="00AC4682">
      <w:pPr>
        <w:pStyle w:val="NoSpacing"/>
        <w:jc w:val="center"/>
        <w:rPr>
          <w:rFonts w:ascii="Aptos" w:hAnsi="Aptos"/>
        </w:rPr>
      </w:pPr>
      <w:r w:rsidRPr="00864CC5">
        <w:rPr>
          <w:rFonts w:ascii="Aptos" w:hAnsi="Aptos"/>
        </w:rPr>
        <w:t>This h</w:t>
      </w:r>
      <w:r w:rsidR="006F2872" w:rsidRPr="00864CC5">
        <w:rPr>
          <w:rFonts w:ascii="Aptos" w:hAnsi="Aptos"/>
        </w:rPr>
        <w:t xml:space="preserve">onor puts </w:t>
      </w:r>
      <w:r w:rsidR="006F2872" w:rsidRPr="00864CC5">
        <w:rPr>
          <w:rFonts w:ascii="Aptos" w:hAnsi="Aptos"/>
          <w:highlight w:val="yellow"/>
        </w:rPr>
        <w:t>[</w:t>
      </w:r>
      <w:r w:rsidR="00551578" w:rsidRPr="00864CC5">
        <w:rPr>
          <w:rFonts w:ascii="Aptos" w:hAnsi="Aptos"/>
          <w:highlight w:val="yellow"/>
        </w:rPr>
        <w:t>Institution Name</w:t>
      </w:r>
      <w:r w:rsidR="006F2872" w:rsidRPr="00864CC5">
        <w:rPr>
          <w:rFonts w:ascii="Aptos" w:hAnsi="Aptos"/>
          <w:highlight w:val="yellow"/>
        </w:rPr>
        <w:t>]</w:t>
      </w:r>
      <w:r w:rsidR="006F2872" w:rsidRPr="00864CC5">
        <w:rPr>
          <w:rFonts w:ascii="Aptos" w:hAnsi="Aptos"/>
        </w:rPr>
        <w:t xml:space="preserve"> in elite company</w:t>
      </w:r>
      <w:r w:rsidRPr="00864CC5">
        <w:rPr>
          <w:rFonts w:ascii="Aptos" w:hAnsi="Aptos"/>
        </w:rPr>
        <w:t>.</w:t>
      </w:r>
    </w:p>
    <w:p w14:paraId="2855B68E" w14:textId="77777777" w:rsidR="002B0695" w:rsidRPr="00864CC5" w:rsidRDefault="002B0695" w:rsidP="006F2872">
      <w:pPr>
        <w:pStyle w:val="NoSpacing"/>
        <w:rPr>
          <w:rFonts w:ascii="Aptos" w:hAnsi="Aptos"/>
        </w:rPr>
      </w:pPr>
    </w:p>
    <w:p w14:paraId="7B492340" w14:textId="7F202D7B" w:rsidR="006F2872" w:rsidRPr="00864CC5" w:rsidRDefault="006F2872" w:rsidP="006F2872">
      <w:pPr>
        <w:pStyle w:val="NoSpacing"/>
        <w:rPr>
          <w:rFonts w:ascii="Aptos" w:hAnsi="Aptos"/>
        </w:rPr>
      </w:pPr>
      <w:r w:rsidRPr="00864CC5">
        <w:rPr>
          <w:rFonts w:ascii="Aptos" w:hAnsi="Aptos"/>
          <w:highlight w:val="yellow"/>
        </w:rPr>
        <w:t>[Institution Name]</w:t>
      </w:r>
      <w:r w:rsidRPr="00864CC5">
        <w:rPr>
          <w:rFonts w:ascii="Aptos" w:hAnsi="Aptos"/>
        </w:rPr>
        <w:t xml:space="preserve"> is one of the best colleges in the nation to work for</w:t>
      </w:r>
      <w:r w:rsidR="00CB491C" w:rsidRPr="00864CC5">
        <w:rPr>
          <w:rFonts w:ascii="Aptos" w:hAnsi="Aptos"/>
        </w:rPr>
        <w:t>, according to t</w:t>
      </w:r>
      <w:r w:rsidRPr="00864CC5">
        <w:rPr>
          <w:rFonts w:ascii="Aptos" w:hAnsi="Aptos"/>
        </w:rPr>
        <w:t>he</w:t>
      </w:r>
    </w:p>
    <w:p w14:paraId="3FDA3AE5" w14:textId="77777777" w:rsidR="006F2872" w:rsidRPr="00864CC5" w:rsidRDefault="002B0695" w:rsidP="006F2872">
      <w:pPr>
        <w:pStyle w:val="NoSpacing"/>
        <w:rPr>
          <w:rFonts w:ascii="Aptos" w:hAnsi="Aptos"/>
        </w:rPr>
      </w:pPr>
      <w:r w:rsidRPr="00864CC5">
        <w:rPr>
          <w:rFonts w:ascii="Aptos" w:hAnsi="Aptos"/>
        </w:rPr>
        <w:t>Great Colleges to Work For</w:t>
      </w:r>
      <w:r w:rsidR="00CE27D5" w:rsidRPr="00864CC5">
        <w:rPr>
          <w:rFonts w:ascii="Aptos" w:hAnsi="Aptos"/>
        </w:rPr>
        <w:t>®</w:t>
      </w:r>
      <w:r w:rsidRPr="00864CC5">
        <w:rPr>
          <w:rFonts w:ascii="Aptos" w:hAnsi="Aptos"/>
        </w:rPr>
        <w:t xml:space="preserve"> program.</w:t>
      </w:r>
    </w:p>
    <w:p w14:paraId="32124BB8" w14:textId="77777777" w:rsidR="002B0695" w:rsidRPr="00864CC5" w:rsidRDefault="002B0695" w:rsidP="006F2872">
      <w:pPr>
        <w:pStyle w:val="NoSpacing"/>
        <w:rPr>
          <w:rFonts w:ascii="Aptos" w:hAnsi="Aptos"/>
        </w:rPr>
      </w:pPr>
    </w:p>
    <w:p w14:paraId="3C1672BA" w14:textId="04AFA9B0" w:rsidR="006F2872" w:rsidRPr="00864CC5" w:rsidRDefault="006F2872" w:rsidP="006F2872">
      <w:pPr>
        <w:pStyle w:val="NoSpacing"/>
        <w:rPr>
          <w:rFonts w:ascii="Aptos" w:hAnsi="Aptos"/>
        </w:rPr>
      </w:pPr>
      <w:r w:rsidRPr="00864CC5">
        <w:rPr>
          <w:rFonts w:ascii="Aptos" w:hAnsi="Aptos"/>
        </w:rPr>
        <w:t xml:space="preserve">The results, released </w:t>
      </w:r>
      <w:r w:rsidRPr="00864CC5">
        <w:rPr>
          <w:rFonts w:ascii="Aptos" w:hAnsi="Aptos"/>
          <w:highlight w:val="yellow"/>
        </w:rPr>
        <w:t>today</w:t>
      </w:r>
      <w:r w:rsidR="00B62101" w:rsidRPr="00864CC5">
        <w:rPr>
          <w:rFonts w:ascii="Aptos" w:hAnsi="Aptos"/>
          <w:highlight w:val="yellow"/>
        </w:rPr>
        <w:t xml:space="preserve"> [</w:t>
      </w:r>
      <w:r w:rsidR="00E414CA" w:rsidRPr="00864CC5">
        <w:rPr>
          <w:rFonts w:ascii="Aptos" w:hAnsi="Aptos"/>
          <w:i/>
          <w:iCs/>
          <w:highlight w:val="yellow"/>
        </w:rPr>
        <w:t xml:space="preserve">Recognized institutions will be announced on September 20, </w:t>
      </w:r>
      <w:proofErr w:type="gramStart"/>
      <w:r w:rsidR="00E414CA" w:rsidRPr="00864CC5">
        <w:rPr>
          <w:rFonts w:ascii="Aptos" w:hAnsi="Aptos"/>
          <w:i/>
          <w:iCs/>
          <w:highlight w:val="yellow"/>
        </w:rPr>
        <w:t>2024</w:t>
      </w:r>
      <w:proofErr w:type="gramEnd"/>
      <w:r w:rsidR="00E414CA" w:rsidRPr="00864CC5">
        <w:rPr>
          <w:rFonts w:ascii="Aptos" w:hAnsi="Aptos"/>
          <w:i/>
          <w:iCs/>
          <w:highlight w:val="yellow"/>
        </w:rPr>
        <w:t xml:space="preserve"> at GreatCollegesList.com, and via a special insert of The Chronicle of Higher Education sent digitally and in print to subscribers</w:t>
      </w:r>
      <w:r w:rsidR="00B62101" w:rsidRPr="00864CC5">
        <w:rPr>
          <w:rFonts w:ascii="Aptos" w:hAnsi="Aptos"/>
          <w:highlight w:val="yellow"/>
        </w:rPr>
        <w:t>.]</w:t>
      </w:r>
      <w:r w:rsidR="00B62101" w:rsidRPr="00864CC5">
        <w:rPr>
          <w:rFonts w:ascii="Aptos" w:hAnsi="Aptos"/>
        </w:rPr>
        <w:t xml:space="preserve"> </w:t>
      </w:r>
      <w:r w:rsidRPr="00864CC5">
        <w:rPr>
          <w:rFonts w:ascii="Aptos" w:hAnsi="Aptos"/>
        </w:rPr>
        <w:t xml:space="preserve">in </w:t>
      </w:r>
      <w:r w:rsidR="002B0695" w:rsidRPr="00864CC5">
        <w:rPr>
          <w:rFonts w:ascii="Aptos" w:hAnsi="Aptos"/>
        </w:rPr>
        <w:t xml:space="preserve">a special insert of </w:t>
      </w:r>
      <w:r w:rsidR="00551578" w:rsidRPr="00864CC5">
        <w:rPr>
          <w:rFonts w:ascii="Aptos" w:hAnsi="Aptos"/>
          <w:i/>
        </w:rPr>
        <w:t>The</w:t>
      </w:r>
      <w:r w:rsidR="002B0695" w:rsidRPr="00864CC5">
        <w:rPr>
          <w:rFonts w:ascii="Aptos" w:hAnsi="Aptos"/>
        </w:rPr>
        <w:t xml:space="preserve"> </w:t>
      </w:r>
      <w:r w:rsidR="002B0695" w:rsidRPr="00864CC5">
        <w:rPr>
          <w:rFonts w:ascii="Aptos" w:hAnsi="Aptos"/>
          <w:i/>
        </w:rPr>
        <w:t>Chronicle</w:t>
      </w:r>
      <w:r w:rsidRPr="00864CC5">
        <w:rPr>
          <w:rFonts w:ascii="Aptos" w:hAnsi="Aptos"/>
          <w:i/>
        </w:rPr>
        <w:t xml:space="preserve"> </w:t>
      </w:r>
      <w:r w:rsidR="00CE27D5" w:rsidRPr="00864CC5">
        <w:rPr>
          <w:rFonts w:ascii="Aptos" w:hAnsi="Aptos"/>
          <w:i/>
        </w:rPr>
        <w:t>of Higher Education,</w:t>
      </w:r>
      <w:r w:rsidR="00CE27D5" w:rsidRPr="00864CC5">
        <w:rPr>
          <w:rFonts w:ascii="Aptos" w:hAnsi="Aptos"/>
        </w:rPr>
        <w:t xml:space="preserve"> </w:t>
      </w:r>
      <w:r w:rsidRPr="00864CC5">
        <w:rPr>
          <w:rFonts w:ascii="Aptos" w:hAnsi="Aptos"/>
        </w:rPr>
        <w:t>are based on a</w:t>
      </w:r>
      <w:r w:rsidR="00B62101" w:rsidRPr="00864CC5">
        <w:rPr>
          <w:rFonts w:ascii="Aptos" w:hAnsi="Aptos"/>
        </w:rPr>
        <w:t xml:space="preserve"> </w:t>
      </w:r>
      <w:r w:rsidRPr="00864CC5">
        <w:rPr>
          <w:rFonts w:ascii="Aptos" w:hAnsi="Aptos"/>
        </w:rPr>
        <w:t>survey o</w:t>
      </w:r>
      <w:r w:rsidR="002B0695" w:rsidRPr="00864CC5">
        <w:rPr>
          <w:rFonts w:ascii="Aptos" w:hAnsi="Aptos"/>
        </w:rPr>
        <w:t xml:space="preserve">f </w:t>
      </w:r>
      <w:r w:rsidR="00760816" w:rsidRPr="00864CC5">
        <w:rPr>
          <w:rFonts w:ascii="Aptos" w:hAnsi="Aptos"/>
        </w:rPr>
        <w:t>216</w:t>
      </w:r>
      <w:r w:rsidR="001207C6" w:rsidRPr="00864CC5">
        <w:rPr>
          <w:rFonts w:ascii="Aptos" w:hAnsi="Aptos"/>
        </w:rPr>
        <w:t xml:space="preserve"> </w:t>
      </w:r>
      <w:r w:rsidR="00551578" w:rsidRPr="00864CC5">
        <w:rPr>
          <w:rFonts w:ascii="Aptos" w:hAnsi="Aptos"/>
        </w:rPr>
        <w:t>colleges and universities.</w:t>
      </w:r>
      <w:r w:rsidR="002B0695" w:rsidRPr="00864CC5">
        <w:rPr>
          <w:rFonts w:ascii="Aptos" w:hAnsi="Aptos"/>
        </w:rPr>
        <w:t xml:space="preserve"> In all, </w:t>
      </w:r>
      <w:r w:rsidR="00EE3043" w:rsidRPr="00864CC5">
        <w:rPr>
          <w:rFonts w:ascii="Aptos" w:hAnsi="Aptos"/>
        </w:rPr>
        <w:t>7</w:t>
      </w:r>
      <w:r w:rsidR="00AA48FA" w:rsidRPr="00864CC5">
        <w:rPr>
          <w:rFonts w:ascii="Aptos" w:hAnsi="Aptos"/>
        </w:rPr>
        <w:t>5</w:t>
      </w:r>
      <w:r w:rsidR="002B0695" w:rsidRPr="00864CC5">
        <w:rPr>
          <w:rFonts w:ascii="Aptos" w:hAnsi="Aptos"/>
        </w:rPr>
        <w:t xml:space="preserve"> of </w:t>
      </w:r>
      <w:r w:rsidR="003C544F" w:rsidRPr="00864CC5">
        <w:rPr>
          <w:rFonts w:ascii="Aptos" w:hAnsi="Aptos"/>
        </w:rPr>
        <w:t>those</w:t>
      </w:r>
      <w:r w:rsidR="002B0695" w:rsidRPr="00864CC5">
        <w:rPr>
          <w:rFonts w:ascii="Aptos" w:hAnsi="Aptos"/>
        </w:rPr>
        <w:t xml:space="preserve"> </w:t>
      </w:r>
      <w:r w:rsidRPr="00864CC5">
        <w:rPr>
          <w:rFonts w:ascii="Aptos" w:hAnsi="Aptos"/>
        </w:rPr>
        <w:t>institutions achieved “Great College to Work For</w:t>
      </w:r>
      <w:r w:rsidR="002B0695" w:rsidRPr="00864CC5">
        <w:rPr>
          <w:rFonts w:ascii="Aptos" w:hAnsi="Aptos"/>
        </w:rPr>
        <w:t xml:space="preserve">” recognition for specific best </w:t>
      </w:r>
      <w:r w:rsidRPr="00864CC5">
        <w:rPr>
          <w:rFonts w:ascii="Aptos" w:hAnsi="Aptos"/>
        </w:rPr>
        <w:t>practices and policies. Results are reported for small, medium, and large instit</w:t>
      </w:r>
      <w:r w:rsidR="002B0695" w:rsidRPr="00864CC5">
        <w:rPr>
          <w:rFonts w:ascii="Aptos" w:hAnsi="Aptos"/>
        </w:rPr>
        <w:t xml:space="preserve">utions, with </w:t>
      </w:r>
      <w:r w:rsidR="002B0695" w:rsidRPr="00864CC5">
        <w:rPr>
          <w:rFonts w:ascii="Aptos" w:hAnsi="Aptos"/>
          <w:highlight w:val="yellow"/>
        </w:rPr>
        <w:t xml:space="preserve">[Institution </w:t>
      </w:r>
      <w:r w:rsidR="00551578" w:rsidRPr="00864CC5">
        <w:rPr>
          <w:rFonts w:ascii="Aptos" w:hAnsi="Aptos"/>
          <w:highlight w:val="yellow"/>
        </w:rPr>
        <w:t>N</w:t>
      </w:r>
      <w:r w:rsidR="002B0695" w:rsidRPr="00864CC5">
        <w:rPr>
          <w:rFonts w:ascii="Aptos" w:hAnsi="Aptos"/>
          <w:highlight w:val="yellow"/>
        </w:rPr>
        <w:t>ame]</w:t>
      </w:r>
      <w:r w:rsidR="002B0695" w:rsidRPr="00864CC5">
        <w:rPr>
          <w:rFonts w:ascii="Aptos" w:hAnsi="Aptos"/>
        </w:rPr>
        <w:t xml:space="preserve"> </w:t>
      </w:r>
      <w:r w:rsidRPr="00864CC5">
        <w:rPr>
          <w:rFonts w:ascii="Aptos" w:hAnsi="Aptos"/>
        </w:rPr>
        <w:t xml:space="preserve">included among the </w:t>
      </w:r>
      <w:r w:rsidRPr="00864CC5">
        <w:rPr>
          <w:rFonts w:ascii="Aptos" w:hAnsi="Aptos"/>
          <w:highlight w:val="yellow"/>
        </w:rPr>
        <w:t>[large universities with 10,000 or more students] [medium u</w:t>
      </w:r>
      <w:r w:rsidR="002B0695" w:rsidRPr="00864CC5">
        <w:rPr>
          <w:rFonts w:ascii="Aptos" w:hAnsi="Aptos"/>
          <w:highlight w:val="yellow"/>
        </w:rPr>
        <w:t xml:space="preserve">niversities with 3,000 to 9,999 </w:t>
      </w:r>
      <w:r w:rsidRPr="00864CC5">
        <w:rPr>
          <w:rFonts w:ascii="Aptos" w:hAnsi="Aptos"/>
          <w:highlight w:val="yellow"/>
        </w:rPr>
        <w:t xml:space="preserve">students] [small universities with </w:t>
      </w:r>
      <w:r w:rsidR="002B0695" w:rsidRPr="00864CC5">
        <w:rPr>
          <w:rFonts w:ascii="Aptos" w:hAnsi="Aptos"/>
          <w:highlight w:val="yellow"/>
        </w:rPr>
        <w:t xml:space="preserve">500 to </w:t>
      </w:r>
      <w:r w:rsidRPr="00864CC5">
        <w:rPr>
          <w:rFonts w:ascii="Aptos" w:hAnsi="Aptos"/>
          <w:highlight w:val="yellow"/>
        </w:rPr>
        <w:t>2,999 students].</w:t>
      </w:r>
    </w:p>
    <w:p w14:paraId="443C1480" w14:textId="77777777" w:rsidR="002B0695" w:rsidRPr="00864CC5" w:rsidRDefault="002B0695" w:rsidP="006F2872">
      <w:pPr>
        <w:pStyle w:val="NoSpacing"/>
        <w:rPr>
          <w:rFonts w:ascii="Aptos" w:hAnsi="Aptos"/>
        </w:rPr>
      </w:pPr>
    </w:p>
    <w:p w14:paraId="4FEB558E" w14:textId="77777777" w:rsidR="006F2872" w:rsidRPr="00864CC5" w:rsidRDefault="006F2872" w:rsidP="006F2872">
      <w:pPr>
        <w:pStyle w:val="NoSpacing"/>
        <w:rPr>
          <w:rFonts w:ascii="Aptos" w:hAnsi="Aptos"/>
        </w:rPr>
      </w:pPr>
      <w:r w:rsidRPr="00864CC5">
        <w:rPr>
          <w:rFonts w:ascii="Aptos" w:hAnsi="Aptos"/>
          <w:highlight w:val="yellow"/>
        </w:rPr>
        <w:t xml:space="preserve">[Institution Name] </w:t>
      </w:r>
      <w:r w:rsidRPr="00864CC5">
        <w:rPr>
          <w:rFonts w:ascii="Aptos" w:hAnsi="Aptos"/>
        </w:rPr>
        <w:t xml:space="preserve">won honors in </w:t>
      </w:r>
      <w:r w:rsidRPr="00864CC5">
        <w:rPr>
          <w:rFonts w:ascii="Aptos" w:hAnsi="Aptos"/>
          <w:highlight w:val="yellow"/>
        </w:rPr>
        <w:t>[</w:t>
      </w:r>
      <w:r w:rsidR="00551578" w:rsidRPr="00864CC5">
        <w:rPr>
          <w:rFonts w:ascii="Aptos" w:hAnsi="Aptos"/>
          <w:highlight w:val="yellow"/>
        </w:rPr>
        <w:t>#]</w:t>
      </w:r>
      <w:r w:rsidRPr="00864CC5">
        <w:rPr>
          <w:rFonts w:ascii="Aptos" w:hAnsi="Aptos"/>
          <w:highlight w:val="yellow"/>
        </w:rPr>
        <w:t xml:space="preserve"> </w:t>
      </w:r>
      <w:r w:rsidR="00551578" w:rsidRPr="00864CC5">
        <w:rPr>
          <w:rFonts w:ascii="Aptos" w:hAnsi="Aptos"/>
        </w:rPr>
        <w:t>categories</w:t>
      </w:r>
      <w:r w:rsidRPr="00864CC5">
        <w:rPr>
          <w:rFonts w:ascii="Aptos" w:hAnsi="Aptos"/>
        </w:rPr>
        <w:t xml:space="preserve"> this year:</w:t>
      </w:r>
    </w:p>
    <w:p w14:paraId="123E0760" w14:textId="77777777" w:rsidR="006F2872" w:rsidRPr="00864CC5" w:rsidRDefault="00CE27D5" w:rsidP="006F2872">
      <w:pPr>
        <w:pStyle w:val="NoSpacing"/>
        <w:rPr>
          <w:rFonts w:ascii="Aptos" w:hAnsi="Aptos"/>
          <w:highlight w:val="yellow"/>
        </w:rPr>
      </w:pPr>
      <w:r w:rsidRPr="00864CC5">
        <w:rPr>
          <w:rFonts w:ascii="Aptos" w:hAnsi="Aptos"/>
        </w:rPr>
        <w:t xml:space="preserve"> </w:t>
      </w:r>
      <w:r w:rsidRPr="00864CC5">
        <w:rPr>
          <w:rFonts w:ascii="Aptos" w:hAnsi="Aptos"/>
          <w:highlight w:val="yellow"/>
        </w:rPr>
        <w:t xml:space="preserve">* </w:t>
      </w:r>
      <w:r w:rsidR="00FD65F4" w:rsidRPr="00864CC5">
        <w:rPr>
          <w:rFonts w:ascii="Aptos" w:hAnsi="Aptos"/>
          <w:highlight w:val="yellow"/>
        </w:rPr>
        <w:t>Professional Development</w:t>
      </w:r>
    </w:p>
    <w:p w14:paraId="70AD98BB" w14:textId="77777777" w:rsidR="006F2872" w:rsidRPr="00864CC5" w:rsidRDefault="00CE27D5" w:rsidP="006F2872">
      <w:pPr>
        <w:pStyle w:val="NoSpacing"/>
        <w:rPr>
          <w:rFonts w:ascii="Aptos" w:hAnsi="Aptos"/>
          <w:highlight w:val="yellow"/>
        </w:rPr>
      </w:pPr>
      <w:r w:rsidRPr="00864CC5">
        <w:rPr>
          <w:rFonts w:ascii="Aptos" w:hAnsi="Aptos"/>
          <w:highlight w:val="yellow"/>
        </w:rPr>
        <w:t xml:space="preserve"> * </w:t>
      </w:r>
      <w:r w:rsidR="00FD65F4" w:rsidRPr="00864CC5">
        <w:rPr>
          <w:rFonts w:ascii="Aptos" w:hAnsi="Aptos"/>
          <w:highlight w:val="yellow"/>
        </w:rPr>
        <w:t>Faculty Experience</w:t>
      </w:r>
    </w:p>
    <w:p w14:paraId="4EC93A3D" w14:textId="77777777" w:rsidR="00551578" w:rsidRPr="00864CC5" w:rsidRDefault="006F2872" w:rsidP="006F2872">
      <w:pPr>
        <w:pStyle w:val="NoSpacing"/>
        <w:rPr>
          <w:rFonts w:ascii="Aptos" w:hAnsi="Aptos"/>
        </w:rPr>
      </w:pPr>
      <w:r w:rsidRPr="00864CC5">
        <w:rPr>
          <w:rFonts w:ascii="Aptos" w:hAnsi="Aptos"/>
          <w:highlight w:val="yellow"/>
        </w:rPr>
        <w:t xml:space="preserve"> * Confidence in </w:t>
      </w:r>
      <w:r w:rsidR="00CE27D5" w:rsidRPr="00864CC5">
        <w:rPr>
          <w:rFonts w:ascii="Aptos" w:hAnsi="Aptos"/>
          <w:highlight w:val="yellow"/>
        </w:rPr>
        <w:t>Senior L</w:t>
      </w:r>
      <w:r w:rsidRPr="00864CC5">
        <w:rPr>
          <w:rFonts w:ascii="Aptos" w:hAnsi="Aptos"/>
          <w:highlight w:val="yellow"/>
        </w:rPr>
        <w:t>eadership</w:t>
      </w:r>
    </w:p>
    <w:p w14:paraId="18CC1D30" w14:textId="77777777" w:rsidR="00551578" w:rsidRPr="00864CC5" w:rsidRDefault="00FD65F4" w:rsidP="006F2872">
      <w:pPr>
        <w:pStyle w:val="NoSpacing"/>
        <w:rPr>
          <w:rFonts w:ascii="Aptos" w:hAnsi="Aptos"/>
        </w:rPr>
      </w:pPr>
      <w:r w:rsidRPr="00864CC5">
        <w:rPr>
          <w:rFonts w:ascii="Aptos" w:hAnsi="Aptos"/>
          <w:highlight w:val="yellow"/>
        </w:rPr>
        <w:t>* Etc.</w:t>
      </w:r>
    </w:p>
    <w:p w14:paraId="69888AE9" w14:textId="77777777" w:rsidR="00CB491C" w:rsidRPr="00864CC5" w:rsidRDefault="00CB491C" w:rsidP="006F2872">
      <w:pPr>
        <w:pStyle w:val="NoSpacing"/>
        <w:rPr>
          <w:rFonts w:ascii="Aptos" w:hAnsi="Aptos"/>
        </w:rPr>
      </w:pPr>
    </w:p>
    <w:p w14:paraId="3645E9A2" w14:textId="77777777" w:rsidR="00CB491C" w:rsidRPr="00864CC5" w:rsidRDefault="00CB491C" w:rsidP="006F2872">
      <w:pPr>
        <w:pStyle w:val="NoSpacing"/>
        <w:rPr>
          <w:rFonts w:ascii="Aptos" w:hAnsi="Aptos"/>
        </w:rPr>
      </w:pPr>
      <w:r w:rsidRPr="00864CC5">
        <w:rPr>
          <w:rFonts w:ascii="Aptos" w:hAnsi="Aptos"/>
          <w:highlight w:val="yellow"/>
        </w:rPr>
        <w:t>[Institution Name] was also named to the Great Colleges Honor Roll, a status granted to only 42 colleges each year who are highlighted most across the recognition categories.</w:t>
      </w:r>
    </w:p>
    <w:p w14:paraId="3320AF4A" w14:textId="77777777" w:rsidR="002B0695" w:rsidRPr="00864CC5" w:rsidRDefault="002B0695" w:rsidP="006F2872">
      <w:pPr>
        <w:pStyle w:val="NoSpacing"/>
        <w:rPr>
          <w:rFonts w:ascii="Aptos" w:hAnsi="Aptos"/>
        </w:rPr>
      </w:pPr>
    </w:p>
    <w:p w14:paraId="07F16FA5" w14:textId="77777777" w:rsidR="006F2872" w:rsidRPr="00864CC5" w:rsidRDefault="006F2872" w:rsidP="006F2872">
      <w:pPr>
        <w:pStyle w:val="NoSpacing"/>
        <w:rPr>
          <w:rFonts w:ascii="Aptos" w:hAnsi="Aptos"/>
        </w:rPr>
      </w:pPr>
      <w:r w:rsidRPr="00864CC5">
        <w:rPr>
          <w:rFonts w:ascii="Aptos" w:hAnsi="Aptos"/>
        </w:rPr>
        <w:t xml:space="preserve">“This is a very satisfying affirmation of </w:t>
      </w:r>
      <w:r w:rsidR="00551578" w:rsidRPr="00864CC5">
        <w:rPr>
          <w:rFonts w:ascii="Aptos" w:hAnsi="Aptos"/>
          <w:highlight w:val="yellow"/>
        </w:rPr>
        <w:t>[Institution Name]</w:t>
      </w:r>
      <w:r w:rsidRPr="00864CC5">
        <w:rPr>
          <w:rFonts w:ascii="Aptos" w:hAnsi="Aptos"/>
        </w:rPr>
        <w:t>, but our real goal is</w:t>
      </w:r>
      <w:r w:rsidR="002B0695" w:rsidRPr="00864CC5">
        <w:rPr>
          <w:rFonts w:ascii="Aptos" w:hAnsi="Aptos"/>
        </w:rPr>
        <w:t xml:space="preserve"> not recognition – it’s being a </w:t>
      </w:r>
      <w:r w:rsidRPr="00864CC5">
        <w:rPr>
          <w:rFonts w:ascii="Aptos" w:hAnsi="Aptos"/>
        </w:rPr>
        <w:t>community that values the needs and contributions of every individual. In that sense every</w:t>
      </w:r>
      <w:r w:rsidR="002B0695" w:rsidRPr="00864CC5">
        <w:rPr>
          <w:rFonts w:ascii="Aptos" w:hAnsi="Aptos"/>
        </w:rPr>
        <w:t xml:space="preserve">one at </w:t>
      </w:r>
      <w:r w:rsidR="00551578" w:rsidRPr="00864CC5">
        <w:rPr>
          <w:rFonts w:ascii="Aptos" w:hAnsi="Aptos"/>
          <w:highlight w:val="yellow"/>
        </w:rPr>
        <w:t>[Institution Name]</w:t>
      </w:r>
      <w:r w:rsidR="00551578" w:rsidRPr="00864CC5">
        <w:rPr>
          <w:rFonts w:ascii="Aptos" w:hAnsi="Aptos"/>
        </w:rPr>
        <w:t xml:space="preserve"> </w:t>
      </w:r>
      <w:r w:rsidRPr="00864CC5">
        <w:rPr>
          <w:rFonts w:ascii="Aptos" w:hAnsi="Aptos"/>
        </w:rPr>
        <w:t xml:space="preserve">helps to make this a great place to work,” said </w:t>
      </w:r>
      <w:r w:rsidR="00551578" w:rsidRPr="00864CC5">
        <w:rPr>
          <w:rFonts w:ascii="Aptos" w:hAnsi="Aptos"/>
          <w:highlight w:val="yellow"/>
        </w:rPr>
        <w:t>[Institution Name]</w:t>
      </w:r>
      <w:r w:rsidR="00551578" w:rsidRPr="00864CC5">
        <w:rPr>
          <w:rFonts w:ascii="Aptos" w:hAnsi="Aptos"/>
        </w:rPr>
        <w:t xml:space="preserve">’s </w:t>
      </w:r>
      <w:r w:rsidR="00551578" w:rsidRPr="00864CC5">
        <w:rPr>
          <w:rFonts w:ascii="Aptos" w:hAnsi="Aptos"/>
          <w:highlight w:val="yellow"/>
        </w:rPr>
        <w:t xml:space="preserve">President/Chancellor </w:t>
      </w:r>
      <w:r w:rsidRPr="00864CC5">
        <w:rPr>
          <w:rFonts w:ascii="Aptos" w:hAnsi="Aptos"/>
          <w:highlight w:val="yellow"/>
        </w:rPr>
        <w:t>[President</w:t>
      </w:r>
      <w:r w:rsidR="00551578" w:rsidRPr="00864CC5">
        <w:rPr>
          <w:rFonts w:ascii="Aptos" w:hAnsi="Aptos"/>
          <w:highlight w:val="yellow"/>
        </w:rPr>
        <w:t>/Chancellor</w:t>
      </w:r>
      <w:r w:rsidRPr="00864CC5">
        <w:rPr>
          <w:rFonts w:ascii="Aptos" w:hAnsi="Aptos"/>
          <w:highlight w:val="yellow"/>
        </w:rPr>
        <w:t xml:space="preserve"> Name].</w:t>
      </w:r>
    </w:p>
    <w:p w14:paraId="5454C48A" w14:textId="77777777" w:rsidR="002B0695" w:rsidRPr="00864CC5" w:rsidRDefault="002B0695" w:rsidP="006F2872">
      <w:pPr>
        <w:pStyle w:val="NoSpacing"/>
        <w:rPr>
          <w:rFonts w:ascii="Aptos" w:hAnsi="Aptos"/>
        </w:rPr>
      </w:pPr>
    </w:p>
    <w:p w14:paraId="5304B36E" w14:textId="13127DB1" w:rsidR="006F2872" w:rsidRPr="00864CC5" w:rsidRDefault="006F2872" w:rsidP="006F2872">
      <w:pPr>
        <w:pStyle w:val="NoSpacing"/>
        <w:rPr>
          <w:rFonts w:ascii="Aptos" w:hAnsi="Aptos"/>
        </w:rPr>
      </w:pPr>
      <w:r w:rsidRPr="00864CC5">
        <w:rPr>
          <w:rFonts w:ascii="Aptos" w:hAnsi="Aptos"/>
        </w:rPr>
        <w:t>The survey results are based on a two-part ass</w:t>
      </w:r>
      <w:r w:rsidR="00CE27D5" w:rsidRPr="00864CC5">
        <w:rPr>
          <w:rFonts w:ascii="Aptos" w:hAnsi="Aptos"/>
        </w:rPr>
        <w:t>essment process: an institution</w:t>
      </w:r>
      <w:r w:rsidRPr="00864CC5">
        <w:rPr>
          <w:rFonts w:ascii="Aptos" w:hAnsi="Aptos"/>
        </w:rPr>
        <w:t xml:space="preserve"> </w:t>
      </w:r>
      <w:r w:rsidR="002B0695" w:rsidRPr="00864CC5">
        <w:rPr>
          <w:rFonts w:ascii="Aptos" w:hAnsi="Aptos"/>
        </w:rPr>
        <w:t>questionnaire</w:t>
      </w:r>
      <w:r w:rsidRPr="00864CC5">
        <w:rPr>
          <w:rFonts w:ascii="Aptos" w:hAnsi="Aptos"/>
        </w:rPr>
        <w:t xml:space="preserve"> that capture</w:t>
      </w:r>
      <w:r w:rsidR="000D373F" w:rsidRPr="00864CC5">
        <w:rPr>
          <w:rFonts w:ascii="Aptos" w:hAnsi="Aptos"/>
        </w:rPr>
        <w:t>s</w:t>
      </w:r>
      <w:r w:rsidR="002B0695" w:rsidRPr="00864CC5">
        <w:rPr>
          <w:rFonts w:ascii="Aptos" w:hAnsi="Aptos"/>
        </w:rPr>
        <w:t xml:space="preserve"> employment data</w:t>
      </w:r>
      <w:r w:rsidRPr="00864CC5">
        <w:rPr>
          <w:rFonts w:ascii="Aptos" w:hAnsi="Aptos"/>
        </w:rPr>
        <w:t xml:space="preserve"> and workplace policies from each institution, and a </w:t>
      </w:r>
      <w:r w:rsidR="002B0695" w:rsidRPr="00864CC5">
        <w:rPr>
          <w:rFonts w:ascii="Aptos" w:hAnsi="Aptos"/>
        </w:rPr>
        <w:t xml:space="preserve">survey administered to faculty, </w:t>
      </w:r>
      <w:r w:rsidRPr="00864CC5">
        <w:rPr>
          <w:rFonts w:ascii="Aptos" w:hAnsi="Aptos"/>
        </w:rPr>
        <w:t xml:space="preserve">administrators, and professional support staff. The primary factor in deciding </w:t>
      </w:r>
      <w:r w:rsidR="002B0695" w:rsidRPr="00864CC5">
        <w:rPr>
          <w:rFonts w:ascii="Aptos" w:hAnsi="Aptos"/>
        </w:rPr>
        <w:t xml:space="preserve">whether an institution received </w:t>
      </w:r>
      <w:r w:rsidRPr="00864CC5">
        <w:rPr>
          <w:rFonts w:ascii="Aptos" w:hAnsi="Aptos"/>
        </w:rPr>
        <w:t>recognition was the employee feedback.</w:t>
      </w:r>
    </w:p>
    <w:p w14:paraId="5FC37514" w14:textId="77777777" w:rsidR="002B0695" w:rsidRPr="00864CC5" w:rsidRDefault="002B0695" w:rsidP="006F2872">
      <w:pPr>
        <w:pStyle w:val="NoSpacing"/>
        <w:rPr>
          <w:rFonts w:ascii="Aptos" w:hAnsi="Aptos"/>
        </w:rPr>
      </w:pPr>
    </w:p>
    <w:p w14:paraId="0B30725D" w14:textId="251E4578" w:rsidR="003C544F" w:rsidRPr="00864CC5" w:rsidRDefault="002B0695" w:rsidP="006F2872">
      <w:pPr>
        <w:pStyle w:val="NoSpacing"/>
        <w:rPr>
          <w:rFonts w:ascii="Aptos" w:hAnsi="Aptos"/>
        </w:rPr>
      </w:pPr>
      <w:r w:rsidRPr="00864CC5">
        <w:rPr>
          <w:rFonts w:ascii="Aptos" w:hAnsi="Aptos"/>
        </w:rPr>
        <w:t>The Great Colleges to Work For</w:t>
      </w:r>
      <w:r w:rsidR="00CE27D5" w:rsidRPr="00864CC5">
        <w:rPr>
          <w:rFonts w:ascii="Aptos" w:hAnsi="Aptos"/>
        </w:rPr>
        <w:t>®</w:t>
      </w:r>
      <w:r w:rsidRPr="00864CC5">
        <w:rPr>
          <w:rFonts w:ascii="Aptos" w:hAnsi="Aptos"/>
        </w:rPr>
        <w:t xml:space="preserve"> </w:t>
      </w:r>
      <w:r w:rsidR="00CE27D5" w:rsidRPr="00864CC5">
        <w:rPr>
          <w:rFonts w:ascii="Aptos" w:hAnsi="Aptos"/>
        </w:rPr>
        <w:t xml:space="preserve">program </w:t>
      </w:r>
      <w:r w:rsidRPr="00864CC5">
        <w:rPr>
          <w:rFonts w:ascii="Aptos" w:hAnsi="Aptos"/>
        </w:rPr>
        <w:t xml:space="preserve">is one of the largest and most respected workplace-recognition programs in the country. For more information and to view all </w:t>
      </w:r>
      <w:r w:rsidR="0068336B" w:rsidRPr="00864CC5">
        <w:rPr>
          <w:rFonts w:ascii="Aptos" w:hAnsi="Aptos"/>
        </w:rPr>
        <w:t>current and previous recognized institutions</w:t>
      </w:r>
      <w:r w:rsidR="00175D40" w:rsidRPr="00864CC5">
        <w:rPr>
          <w:rFonts w:ascii="Aptos" w:hAnsi="Aptos"/>
        </w:rPr>
        <w:t>, visit the Great Colleges p</w:t>
      </w:r>
      <w:r w:rsidRPr="00864CC5">
        <w:rPr>
          <w:rFonts w:ascii="Aptos" w:hAnsi="Aptos"/>
        </w:rPr>
        <w:t>rogram website</w:t>
      </w:r>
      <w:r w:rsidR="00BA353B" w:rsidRPr="00864CC5">
        <w:rPr>
          <w:rFonts w:ascii="Aptos" w:hAnsi="Aptos"/>
        </w:rPr>
        <w:t xml:space="preserve"> at </w:t>
      </w:r>
      <w:r w:rsidR="00FD65F4" w:rsidRPr="00864CC5">
        <w:rPr>
          <w:rFonts w:ascii="Aptos" w:hAnsi="Aptos"/>
        </w:rPr>
        <w:t>GreatCollegesProgram.com and GreatCollegesList.com</w:t>
      </w:r>
      <w:r w:rsidRPr="00864CC5">
        <w:rPr>
          <w:rFonts w:ascii="Aptos" w:hAnsi="Aptos"/>
        </w:rPr>
        <w:t>.</w:t>
      </w:r>
      <w:r w:rsidR="00551578" w:rsidRPr="00864CC5">
        <w:rPr>
          <w:rFonts w:ascii="Aptos" w:hAnsi="Aptos"/>
        </w:rPr>
        <w:t xml:space="preserve"> </w:t>
      </w:r>
      <w:r w:rsidRPr="00864CC5">
        <w:rPr>
          <w:rFonts w:ascii="Aptos" w:hAnsi="Aptos"/>
        </w:rPr>
        <w:t xml:space="preserve">ModernThink, a strategic human capital consulting firm, </w:t>
      </w:r>
      <w:r w:rsidR="006F2872" w:rsidRPr="00864CC5">
        <w:rPr>
          <w:rFonts w:ascii="Aptos" w:hAnsi="Aptos"/>
        </w:rPr>
        <w:t>administer</w:t>
      </w:r>
      <w:r w:rsidRPr="00864CC5">
        <w:rPr>
          <w:rFonts w:ascii="Aptos" w:hAnsi="Aptos"/>
        </w:rPr>
        <w:t>ed</w:t>
      </w:r>
      <w:r w:rsidR="006F2872" w:rsidRPr="00864CC5">
        <w:rPr>
          <w:rFonts w:ascii="Aptos" w:hAnsi="Aptos"/>
        </w:rPr>
        <w:t xml:space="preserve"> the survey and analyze</w:t>
      </w:r>
      <w:r w:rsidRPr="00864CC5">
        <w:rPr>
          <w:rFonts w:ascii="Aptos" w:hAnsi="Aptos"/>
        </w:rPr>
        <w:t>d</w:t>
      </w:r>
      <w:r w:rsidR="006F2872" w:rsidRPr="00864CC5">
        <w:rPr>
          <w:rFonts w:ascii="Aptos" w:hAnsi="Aptos"/>
        </w:rPr>
        <w:t xml:space="preserve"> the results</w:t>
      </w:r>
      <w:r w:rsidRPr="00864CC5">
        <w:rPr>
          <w:rFonts w:ascii="Aptos" w:hAnsi="Aptos"/>
        </w:rPr>
        <w:t>.</w:t>
      </w:r>
    </w:p>
    <w:p w14:paraId="167B45F8" w14:textId="30FF4AE4" w:rsidR="002B0695" w:rsidRPr="00864CC5" w:rsidRDefault="003C544F" w:rsidP="00EA69E2">
      <w:pPr>
        <w:pStyle w:val="NoSpacing"/>
        <w:jc w:val="center"/>
        <w:rPr>
          <w:rFonts w:ascii="Aptos" w:hAnsi="Aptos"/>
        </w:rPr>
      </w:pPr>
      <w:r w:rsidRPr="00864CC5">
        <w:rPr>
          <w:rFonts w:ascii="Aptos" w:hAnsi="Aptos"/>
        </w:rPr>
        <w:t>###</w:t>
      </w:r>
    </w:p>
    <w:sectPr w:rsidR="002B0695" w:rsidRPr="00864CC5" w:rsidSect="00102A7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8049D"/>
    <w:multiLevelType w:val="hybridMultilevel"/>
    <w:tmpl w:val="5E80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D0B96"/>
    <w:multiLevelType w:val="hybridMultilevel"/>
    <w:tmpl w:val="ADDA0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30CA9"/>
    <w:multiLevelType w:val="hybridMultilevel"/>
    <w:tmpl w:val="A56E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306778">
    <w:abstractNumId w:val="1"/>
  </w:num>
  <w:num w:numId="2" w16cid:durableId="1749383318">
    <w:abstractNumId w:val="0"/>
  </w:num>
  <w:num w:numId="3" w16cid:durableId="60006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872"/>
    <w:rsid w:val="00044375"/>
    <w:rsid w:val="0004521F"/>
    <w:rsid w:val="00080162"/>
    <w:rsid w:val="000B2DDB"/>
    <w:rsid w:val="000C2F03"/>
    <w:rsid w:val="000C5BC6"/>
    <w:rsid w:val="000D230D"/>
    <w:rsid w:val="000D373F"/>
    <w:rsid w:val="000E169F"/>
    <w:rsid w:val="000F59C0"/>
    <w:rsid w:val="00102A71"/>
    <w:rsid w:val="00116E7A"/>
    <w:rsid w:val="001207C6"/>
    <w:rsid w:val="00123B26"/>
    <w:rsid w:val="0012632F"/>
    <w:rsid w:val="00136932"/>
    <w:rsid w:val="00142B97"/>
    <w:rsid w:val="001523A9"/>
    <w:rsid w:val="00172839"/>
    <w:rsid w:val="00175D40"/>
    <w:rsid w:val="001F0794"/>
    <w:rsid w:val="00221153"/>
    <w:rsid w:val="00234E7B"/>
    <w:rsid w:val="0023776B"/>
    <w:rsid w:val="0025277A"/>
    <w:rsid w:val="002626C1"/>
    <w:rsid w:val="00264E66"/>
    <w:rsid w:val="00293CE1"/>
    <w:rsid w:val="002B0695"/>
    <w:rsid w:val="002B399D"/>
    <w:rsid w:val="002D6691"/>
    <w:rsid w:val="002E6487"/>
    <w:rsid w:val="002F5034"/>
    <w:rsid w:val="0031646C"/>
    <w:rsid w:val="00331A59"/>
    <w:rsid w:val="00352CAC"/>
    <w:rsid w:val="0035482E"/>
    <w:rsid w:val="00355B42"/>
    <w:rsid w:val="00374AC3"/>
    <w:rsid w:val="003B3AC2"/>
    <w:rsid w:val="003C544F"/>
    <w:rsid w:val="003C7F69"/>
    <w:rsid w:val="003D402A"/>
    <w:rsid w:val="003F15E2"/>
    <w:rsid w:val="003F37E1"/>
    <w:rsid w:val="003F7F2C"/>
    <w:rsid w:val="00401858"/>
    <w:rsid w:val="00444F16"/>
    <w:rsid w:val="004626B9"/>
    <w:rsid w:val="00497435"/>
    <w:rsid w:val="00497DCE"/>
    <w:rsid w:val="004E5A12"/>
    <w:rsid w:val="004F5015"/>
    <w:rsid w:val="004F7935"/>
    <w:rsid w:val="0051799B"/>
    <w:rsid w:val="00545A6C"/>
    <w:rsid w:val="00550F61"/>
    <w:rsid w:val="00551578"/>
    <w:rsid w:val="00596ABA"/>
    <w:rsid w:val="005B1C67"/>
    <w:rsid w:val="005B43FC"/>
    <w:rsid w:val="005C6E23"/>
    <w:rsid w:val="005D3F27"/>
    <w:rsid w:val="006204BD"/>
    <w:rsid w:val="00622E0A"/>
    <w:rsid w:val="00643481"/>
    <w:rsid w:val="00672B22"/>
    <w:rsid w:val="0068336B"/>
    <w:rsid w:val="006A5F6D"/>
    <w:rsid w:val="006B0BEF"/>
    <w:rsid w:val="006E268A"/>
    <w:rsid w:val="006F2872"/>
    <w:rsid w:val="006F7291"/>
    <w:rsid w:val="00716D52"/>
    <w:rsid w:val="00721B70"/>
    <w:rsid w:val="007402C5"/>
    <w:rsid w:val="0074689A"/>
    <w:rsid w:val="00760816"/>
    <w:rsid w:val="00792746"/>
    <w:rsid w:val="007B01FD"/>
    <w:rsid w:val="007E7236"/>
    <w:rsid w:val="007F0C15"/>
    <w:rsid w:val="00807378"/>
    <w:rsid w:val="00811DB6"/>
    <w:rsid w:val="00814137"/>
    <w:rsid w:val="00835B31"/>
    <w:rsid w:val="008430EA"/>
    <w:rsid w:val="00864CC5"/>
    <w:rsid w:val="00865476"/>
    <w:rsid w:val="00871667"/>
    <w:rsid w:val="00872D8F"/>
    <w:rsid w:val="00893485"/>
    <w:rsid w:val="008A27E3"/>
    <w:rsid w:val="008E001E"/>
    <w:rsid w:val="0090009E"/>
    <w:rsid w:val="00914824"/>
    <w:rsid w:val="009201CF"/>
    <w:rsid w:val="00941A8F"/>
    <w:rsid w:val="00946394"/>
    <w:rsid w:val="00982E13"/>
    <w:rsid w:val="009D2807"/>
    <w:rsid w:val="009D5E37"/>
    <w:rsid w:val="009D7973"/>
    <w:rsid w:val="00A16369"/>
    <w:rsid w:val="00A173C6"/>
    <w:rsid w:val="00A26221"/>
    <w:rsid w:val="00A57036"/>
    <w:rsid w:val="00A578EB"/>
    <w:rsid w:val="00A7207D"/>
    <w:rsid w:val="00A75D0C"/>
    <w:rsid w:val="00A80A2D"/>
    <w:rsid w:val="00A8630A"/>
    <w:rsid w:val="00AA48FA"/>
    <w:rsid w:val="00AC4682"/>
    <w:rsid w:val="00B53267"/>
    <w:rsid w:val="00B62101"/>
    <w:rsid w:val="00B743CC"/>
    <w:rsid w:val="00B84240"/>
    <w:rsid w:val="00BA353B"/>
    <w:rsid w:val="00BB3D8E"/>
    <w:rsid w:val="00BC2448"/>
    <w:rsid w:val="00BE721D"/>
    <w:rsid w:val="00C11596"/>
    <w:rsid w:val="00C17487"/>
    <w:rsid w:val="00C50A1B"/>
    <w:rsid w:val="00C71BA6"/>
    <w:rsid w:val="00CB491C"/>
    <w:rsid w:val="00CC0AAD"/>
    <w:rsid w:val="00CC69C4"/>
    <w:rsid w:val="00CE1342"/>
    <w:rsid w:val="00CE27D5"/>
    <w:rsid w:val="00CE3754"/>
    <w:rsid w:val="00CF461B"/>
    <w:rsid w:val="00CF5988"/>
    <w:rsid w:val="00D37A03"/>
    <w:rsid w:val="00D77C31"/>
    <w:rsid w:val="00D8450D"/>
    <w:rsid w:val="00DB779E"/>
    <w:rsid w:val="00DE7D9A"/>
    <w:rsid w:val="00DF251B"/>
    <w:rsid w:val="00E01B52"/>
    <w:rsid w:val="00E23B5B"/>
    <w:rsid w:val="00E27290"/>
    <w:rsid w:val="00E361FC"/>
    <w:rsid w:val="00E414CA"/>
    <w:rsid w:val="00E41718"/>
    <w:rsid w:val="00EA69E2"/>
    <w:rsid w:val="00ED69B1"/>
    <w:rsid w:val="00EE3043"/>
    <w:rsid w:val="00F061A8"/>
    <w:rsid w:val="00F33A3C"/>
    <w:rsid w:val="00F33C7E"/>
    <w:rsid w:val="00F545A6"/>
    <w:rsid w:val="00F64F27"/>
    <w:rsid w:val="00F6719A"/>
    <w:rsid w:val="00F816A4"/>
    <w:rsid w:val="00F87E04"/>
    <w:rsid w:val="00F942D4"/>
    <w:rsid w:val="00FA08D6"/>
    <w:rsid w:val="00FC26B1"/>
    <w:rsid w:val="00FD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A738"/>
  <w15:docId w15:val="{747FCEA7-1361-4DEA-BFE7-8F49B3E4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872"/>
    <w:pPr>
      <w:spacing w:after="0" w:line="240" w:lineRule="auto"/>
    </w:pPr>
  </w:style>
  <w:style w:type="character" w:styleId="Hyperlink">
    <w:name w:val="Hyperlink"/>
    <w:basedOn w:val="DefaultParagraphFont"/>
    <w:uiPriority w:val="99"/>
    <w:unhideWhenUsed/>
    <w:rsid w:val="002B0695"/>
    <w:rPr>
      <w:color w:val="0000FF" w:themeColor="hyperlink"/>
      <w:u w:val="single"/>
    </w:rPr>
  </w:style>
  <w:style w:type="paragraph" w:styleId="NormalWeb">
    <w:name w:val="Normal (Web)"/>
    <w:basedOn w:val="Normal"/>
    <w:uiPriority w:val="99"/>
    <w:semiHidden/>
    <w:unhideWhenUsed/>
    <w:rsid w:val="009D2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40786">
      <w:bodyDiv w:val="1"/>
      <w:marLeft w:val="0"/>
      <w:marRight w:val="0"/>
      <w:marTop w:val="0"/>
      <w:marBottom w:val="0"/>
      <w:divBdr>
        <w:top w:val="none" w:sz="0" w:space="0" w:color="auto"/>
        <w:left w:val="none" w:sz="0" w:space="0" w:color="auto"/>
        <w:bottom w:val="none" w:sz="0" w:space="0" w:color="auto"/>
        <w:right w:val="none" w:sz="0" w:space="0" w:color="auto"/>
      </w:divBdr>
    </w:div>
    <w:div w:id="1000890057">
      <w:bodyDiv w:val="1"/>
      <w:marLeft w:val="0"/>
      <w:marRight w:val="0"/>
      <w:marTop w:val="0"/>
      <w:marBottom w:val="0"/>
      <w:divBdr>
        <w:top w:val="none" w:sz="0" w:space="0" w:color="auto"/>
        <w:left w:val="none" w:sz="0" w:space="0" w:color="auto"/>
        <w:bottom w:val="none" w:sz="0" w:space="0" w:color="auto"/>
        <w:right w:val="none" w:sz="0" w:space="0" w:color="auto"/>
      </w:divBdr>
    </w:div>
    <w:div w:id="1330018932">
      <w:bodyDiv w:val="1"/>
      <w:marLeft w:val="0"/>
      <w:marRight w:val="0"/>
      <w:marTop w:val="0"/>
      <w:marBottom w:val="0"/>
      <w:divBdr>
        <w:top w:val="none" w:sz="0" w:space="0" w:color="auto"/>
        <w:left w:val="none" w:sz="0" w:space="0" w:color="auto"/>
        <w:bottom w:val="none" w:sz="0" w:space="0" w:color="auto"/>
        <w:right w:val="none" w:sz="0" w:space="0" w:color="auto"/>
      </w:divBdr>
    </w:div>
    <w:div w:id="1880119849">
      <w:bodyDiv w:val="1"/>
      <w:marLeft w:val="0"/>
      <w:marRight w:val="0"/>
      <w:marTop w:val="0"/>
      <w:marBottom w:val="0"/>
      <w:divBdr>
        <w:top w:val="none" w:sz="0" w:space="0" w:color="auto"/>
        <w:left w:val="none" w:sz="0" w:space="0" w:color="auto"/>
        <w:bottom w:val="none" w:sz="0" w:space="0" w:color="auto"/>
        <w:right w:val="none" w:sz="0" w:space="0" w:color="auto"/>
      </w:divBdr>
    </w:div>
    <w:div w:id="1927574620">
      <w:bodyDiv w:val="1"/>
      <w:marLeft w:val="0"/>
      <w:marRight w:val="0"/>
      <w:marTop w:val="0"/>
      <w:marBottom w:val="0"/>
      <w:divBdr>
        <w:top w:val="none" w:sz="0" w:space="0" w:color="auto"/>
        <w:left w:val="none" w:sz="0" w:space="0" w:color="auto"/>
        <w:bottom w:val="none" w:sz="0" w:space="0" w:color="auto"/>
        <w:right w:val="none" w:sz="0" w:space="0" w:color="auto"/>
      </w:divBdr>
    </w:div>
    <w:div w:id="21197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f64dd9-3308-45a9-8c6d-4a82c4324789">
      <Terms xmlns="http://schemas.microsoft.com/office/infopath/2007/PartnerControls"/>
    </lcf76f155ced4ddcb4097134ff3c332f>
    <TaxCatchAll xmlns="a3fdf16f-aed9-490d-9c8c-f9f81c371f1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907609D709BC4FB8E13BD4BF425A0B" ma:contentTypeVersion="12" ma:contentTypeDescription="Create a new document." ma:contentTypeScope="" ma:versionID="6b1c2d6c928d7bcb192545b47e220bc5">
  <xsd:schema xmlns:xsd="http://www.w3.org/2001/XMLSchema" xmlns:xs="http://www.w3.org/2001/XMLSchema" xmlns:p="http://schemas.microsoft.com/office/2006/metadata/properties" xmlns:ns2="56f64dd9-3308-45a9-8c6d-4a82c4324789" xmlns:ns3="a3fdf16f-aed9-490d-9c8c-f9f81c371f11" targetNamespace="http://schemas.microsoft.com/office/2006/metadata/properties" ma:root="true" ma:fieldsID="6b3f9a5abfdfdd1f8f5c85832dfe116d" ns2:_="" ns3:_="">
    <xsd:import namespace="56f64dd9-3308-45a9-8c6d-4a82c4324789"/>
    <xsd:import namespace="a3fdf16f-aed9-490d-9c8c-f9f81c371f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64dd9-3308-45a9-8c6d-4a82c432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6f8c10-cd42-40ce-a8d4-01c6704663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fdf16f-aed9-490d-9c8c-f9f81c371f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c95db8-0b1a-4c34-8b1b-cf5af227bcf4}" ma:internalName="TaxCatchAll" ma:showField="CatchAllData" ma:web="a3fdf16f-aed9-490d-9c8c-f9f81c371f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7E80F-6E1B-406A-A4C2-7352BC103B27}">
  <ds:schemaRefs>
    <ds:schemaRef ds:uri="http://schemas.microsoft.com/office/2006/metadata/properties"/>
    <ds:schemaRef ds:uri="http://schemas.microsoft.com/office/infopath/2007/PartnerControls"/>
    <ds:schemaRef ds:uri="56f64dd9-3308-45a9-8c6d-4a82c4324789"/>
    <ds:schemaRef ds:uri="a3fdf16f-aed9-490d-9c8c-f9f81c371f11"/>
  </ds:schemaRefs>
</ds:datastoreItem>
</file>

<file path=customXml/itemProps2.xml><?xml version="1.0" encoding="utf-8"?>
<ds:datastoreItem xmlns:ds="http://schemas.openxmlformats.org/officeDocument/2006/customXml" ds:itemID="{27829AF0-6F1A-4F00-AF5E-EDCCC50ECB05}">
  <ds:schemaRefs>
    <ds:schemaRef ds:uri="http://schemas.openxmlformats.org/officeDocument/2006/bibliography"/>
  </ds:schemaRefs>
</ds:datastoreItem>
</file>

<file path=customXml/itemProps3.xml><?xml version="1.0" encoding="utf-8"?>
<ds:datastoreItem xmlns:ds="http://schemas.openxmlformats.org/officeDocument/2006/customXml" ds:itemID="{83E0DFAA-28E7-4281-A415-881D8E491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64dd9-3308-45a9-8c6d-4a82c4324789"/>
    <ds:schemaRef ds:uri="a3fdf16f-aed9-490d-9c8c-f9f81c37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BD60C-573E-4F91-8634-7F7F110D6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Flood</dc:creator>
  <cp:lastModifiedBy>Suzi Schmittlein</cp:lastModifiedBy>
  <cp:revision>68</cp:revision>
  <dcterms:created xsi:type="dcterms:W3CDTF">2024-05-15T15:26:00Z</dcterms:created>
  <dcterms:modified xsi:type="dcterms:W3CDTF">2024-06-03T03:09:00Z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0x0101007A907609D709BC4FB8E13BD4BF425A0B</vt:lpwstr>
  </property>
  <property fmtid="{D5CDD505-2E9C-101B-9397-08002B2CF9AE}" pid="3" name="Order">
    <vt:r8>31716200</vt:r8>
  </property>
  <property fmtid="{D5CDD505-2E9C-101B-9397-08002B2CF9AE}" pid="4" name="MediaServiceImageTags">
    <vt:lpwstr/>
  </property>
</Properties>
</file>